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23877D4E" w:rsidR="0085764D" w:rsidRPr="00AF3BD7" w:rsidRDefault="00CD1BB7" w:rsidP="00847645">
            <w:pPr>
              <w:jc w:val="center"/>
            </w:pPr>
            <w:r>
              <w:t>15.01.2026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4B462E40" w:rsidR="0085764D" w:rsidRPr="00E24152" w:rsidRDefault="00CD1BB7" w:rsidP="00246B2E">
            <w:pPr>
              <w:tabs>
                <w:tab w:val="center" w:pos="2160"/>
              </w:tabs>
              <w:jc w:val="center"/>
              <w:rPr>
                <w:lang w:val="en-US"/>
              </w:rPr>
            </w:pPr>
            <w:r>
              <w:t>1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DE057B">
        <w:tc>
          <w:tcPr>
            <w:tcW w:w="125" w:type="pct"/>
          </w:tcPr>
          <w:p w14:paraId="35C50756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DE057B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DE057B">
        <w:tc>
          <w:tcPr>
            <w:tcW w:w="125" w:type="pct"/>
          </w:tcPr>
          <w:p w14:paraId="32875452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DE057B">
        <w:tc>
          <w:tcPr>
            <w:tcW w:w="125" w:type="pct"/>
          </w:tcPr>
          <w:p w14:paraId="162D3A48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DE057B">
        <w:tc>
          <w:tcPr>
            <w:tcW w:w="125" w:type="pct"/>
          </w:tcPr>
          <w:p w14:paraId="52502FA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DE057B">
        <w:tc>
          <w:tcPr>
            <w:tcW w:w="125" w:type="pct"/>
          </w:tcPr>
          <w:p w14:paraId="32C39485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DE057B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DE057B">
        <w:tc>
          <w:tcPr>
            <w:tcW w:w="125" w:type="pct"/>
          </w:tcPr>
          <w:p w14:paraId="3830CDBB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DE057B">
        <w:tc>
          <w:tcPr>
            <w:tcW w:w="125" w:type="pct"/>
          </w:tcPr>
          <w:p w14:paraId="69667D79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>- начальник управления организационно-правовой работы и государственного контроля региональной службы по тарифам Нижегородской области</w:t>
            </w:r>
          </w:p>
        </w:tc>
      </w:tr>
      <w:tr w:rsidR="000E119F" w:rsidRPr="00AF3BD7" w14:paraId="31342417" w14:textId="77777777" w:rsidTr="00DE057B">
        <w:tc>
          <w:tcPr>
            <w:tcW w:w="125" w:type="pct"/>
          </w:tcPr>
          <w:p w14:paraId="1EC94AC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DE057B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DE057B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DE057B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DE057B">
        <w:tc>
          <w:tcPr>
            <w:tcW w:w="125" w:type="pct"/>
          </w:tcPr>
          <w:p w14:paraId="385945BF" w14:textId="77777777" w:rsidR="000E119F" w:rsidRPr="00A027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DE057B">
        <w:tc>
          <w:tcPr>
            <w:tcW w:w="125" w:type="pct"/>
          </w:tcPr>
          <w:p w14:paraId="4276FC4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proofErr w:type="spellStart"/>
            <w:r w:rsidRPr="003B4C72">
              <w:rPr>
                <w:sz w:val="24"/>
                <w:szCs w:val="24"/>
              </w:rPr>
              <w:t>Фитасов</w:t>
            </w:r>
            <w:proofErr w:type="spellEnd"/>
            <w:r w:rsidRPr="003B4C72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DE057B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9F8F04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28D7A346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DE057B">
        <w:tc>
          <w:tcPr>
            <w:tcW w:w="125" w:type="pct"/>
          </w:tcPr>
          <w:p w14:paraId="1901DD24" w14:textId="77777777" w:rsidR="000E119F" w:rsidRPr="004D5F0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DE057B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DE057B">
            <w:pPr>
              <w:jc w:val="both"/>
            </w:pPr>
            <w:r w:rsidRPr="004D5F07">
              <w:rPr>
                <w:sz w:val="24"/>
                <w:szCs w:val="24"/>
              </w:rPr>
              <w:t>- начальник сектора организации работы правления правового управления региональной службы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1EC8C267" w14:textId="78CD8CBF" w:rsidR="008D56FF" w:rsidRPr="00773FEC" w:rsidRDefault="006422DF" w:rsidP="00EC79EE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DC1C5F">
        <w:rPr>
          <w:sz w:val="24"/>
          <w:szCs w:val="24"/>
        </w:rPr>
        <w:t xml:space="preserve">заседает </w:t>
      </w:r>
      <w:r w:rsidRPr="00A815C4">
        <w:rPr>
          <w:sz w:val="24"/>
          <w:szCs w:val="24"/>
        </w:rPr>
        <w:t>в полном составе.</w:t>
      </w:r>
      <w:r w:rsidRPr="00DC1C5F">
        <w:rPr>
          <w:sz w:val="24"/>
          <w:szCs w:val="24"/>
        </w:rPr>
        <w:t xml:space="preserve"> </w:t>
      </w:r>
      <w:r w:rsidR="008D56FF" w:rsidRPr="00DC1C5F">
        <w:rPr>
          <w:sz w:val="24"/>
          <w:szCs w:val="24"/>
        </w:rPr>
        <w:t>Кворум для принятия решений имеется.</w:t>
      </w:r>
      <w:r w:rsidR="008D56FF" w:rsidRPr="00DC1C5F">
        <w:rPr>
          <w:b/>
          <w:bCs/>
          <w:sz w:val="24"/>
          <w:szCs w:val="24"/>
        </w:rPr>
        <w:t xml:space="preserve"> </w:t>
      </w:r>
      <w:r w:rsidR="008D56FF" w:rsidRPr="00DC1C5F">
        <w:rPr>
          <w:sz w:val="24"/>
          <w:szCs w:val="24"/>
        </w:rPr>
        <w:t>Представитель</w:t>
      </w:r>
      <w:r w:rsidR="008D56FF" w:rsidRPr="00DC1C5F">
        <w:rPr>
          <w:b/>
          <w:bCs/>
          <w:sz w:val="24"/>
          <w:szCs w:val="24"/>
        </w:rPr>
        <w:t xml:space="preserve"> </w:t>
      </w:r>
      <w:r w:rsidR="008D56FF" w:rsidRPr="00DC1C5F">
        <w:rPr>
          <w:bCs/>
          <w:sz w:val="24"/>
          <w:szCs w:val="24"/>
        </w:rPr>
        <w:t>Ассоциаци</w:t>
      </w:r>
      <w:r w:rsidR="008D56FF" w:rsidRPr="00885D6B">
        <w:rPr>
          <w:bCs/>
          <w:sz w:val="24"/>
          <w:szCs w:val="24"/>
        </w:rPr>
        <w:t>и</w:t>
      </w:r>
      <w:r w:rsidR="008D56FF" w:rsidRPr="00885D6B">
        <w:rPr>
          <w:b/>
          <w:bCs/>
          <w:sz w:val="24"/>
          <w:szCs w:val="24"/>
        </w:rPr>
        <w:t xml:space="preserve"> «</w:t>
      </w:r>
      <w:r w:rsidR="008D56FF" w:rsidRPr="00885D6B">
        <w:rPr>
          <w:sz w:val="24"/>
          <w:szCs w:val="24"/>
        </w:rPr>
        <w:t xml:space="preserve">НП Совет рынка» </w:t>
      </w:r>
      <w:proofErr w:type="spellStart"/>
      <w:r w:rsidR="008D56FF">
        <w:rPr>
          <w:sz w:val="24"/>
          <w:szCs w:val="24"/>
        </w:rPr>
        <w:t>Ф</w:t>
      </w:r>
      <w:r w:rsidR="008D56FF" w:rsidRPr="00593CC5">
        <w:rPr>
          <w:sz w:val="24"/>
          <w:szCs w:val="24"/>
        </w:rPr>
        <w:t>итасов</w:t>
      </w:r>
      <w:proofErr w:type="spellEnd"/>
      <w:r w:rsidR="008D56FF">
        <w:rPr>
          <w:sz w:val="24"/>
          <w:szCs w:val="24"/>
        </w:rPr>
        <w:t xml:space="preserve"> А.Н. </w:t>
      </w:r>
      <w:r w:rsidR="008D56FF"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47008BCE" w14:textId="1D7DDB67" w:rsidR="00A51A8F" w:rsidRDefault="00A51A8F" w:rsidP="008D56FF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 w:rsidR="00106642">
        <w:rPr>
          <w:sz w:val="24"/>
          <w:szCs w:val="24"/>
        </w:rPr>
        <w:t xml:space="preserve">Баранов И.В. </w:t>
      </w:r>
      <w:r w:rsidRPr="000468F6">
        <w:rPr>
          <w:sz w:val="24"/>
          <w:szCs w:val="24"/>
        </w:rPr>
        <w:t xml:space="preserve">по </w:t>
      </w:r>
      <w:r w:rsidR="00B62002">
        <w:rPr>
          <w:sz w:val="24"/>
          <w:szCs w:val="24"/>
        </w:rPr>
        <w:t>всем пунктам</w:t>
      </w:r>
      <w:r w:rsidR="00181236">
        <w:rPr>
          <w:sz w:val="24"/>
          <w:szCs w:val="24"/>
        </w:rPr>
        <w:t xml:space="preserve"> </w:t>
      </w:r>
      <w:r w:rsidRPr="000468F6">
        <w:rPr>
          <w:sz w:val="24"/>
          <w:szCs w:val="24"/>
        </w:rPr>
        <w:t>повестки дня заседания правления региональной службы по тарифам Н</w:t>
      </w:r>
      <w:r w:rsidR="00F51ADF">
        <w:rPr>
          <w:sz w:val="24"/>
          <w:szCs w:val="24"/>
        </w:rPr>
        <w:t>ижегородской области «воздержал</w:t>
      </w:r>
      <w:r w:rsidR="00106642">
        <w:rPr>
          <w:sz w:val="24"/>
          <w:szCs w:val="24"/>
        </w:rPr>
        <w:t>ся</w:t>
      </w:r>
      <w:r w:rsidRPr="000468F6">
        <w:rPr>
          <w:sz w:val="24"/>
          <w:szCs w:val="24"/>
        </w:rPr>
        <w:t>».</w:t>
      </w:r>
    </w:p>
    <w:p w14:paraId="3AB41A2A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383050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09E2D9B" w14:textId="5A69236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E7F9736" w14:textId="1C7BFDF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6FC638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82877B" w14:textId="7E4DAC9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4E402CB" w14:textId="56B13A03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123BB3F" w14:textId="7AEA69C3" w:rsidR="00117A70" w:rsidRDefault="00117A70" w:rsidP="00A815C4">
      <w:pPr>
        <w:tabs>
          <w:tab w:val="left" w:pos="480"/>
        </w:tabs>
        <w:jc w:val="both"/>
        <w:rPr>
          <w:sz w:val="24"/>
          <w:szCs w:val="24"/>
        </w:rPr>
      </w:pPr>
    </w:p>
    <w:p w14:paraId="0B4AC2D4" w14:textId="7A3080F4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77777777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4AAC1" w14:textId="77777777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37268576" w14:textId="20BFA880" w:rsidR="00123953" w:rsidRDefault="00123953" w:rsidP="00123953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123953">
        <w:rPr>
          <w:bCs/>
          <w:sz w:val="24"/>
          <w:szCs w:val="24"/>
        </w:rPr>
        <w:t xml:space="preserve"> </w:t>
      </w:r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Pr="00123953">
        <w:rPr>
          <w:sz w:val="24"/>
        </w:rPr>
        <w:t>ОБЩЕСТВА С ОГРАНИЧЕННОЙ ОТВЕТСТВЕННОСТЬЮ «РАСПРЕДЕЛЁННАЯ ЭНЕРГЕТИКА» (ИНН 5836693981), г. Пенза</w:t>
      </w:r>
      <w:r w:rsidRPr="00620CF9">
        <w:rPr>
          <w:sz w:val="24"/>
        </w:rPr>
        <w:t xml:space="preserve">,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  <w:r w:rsidRPr="00CD1BB7">
        <w:rPr>
          <w:bCs/>
          <w:sz w:val="24"/>
          <w:szCs w:val="24"/>
        </w:rPr>
        <w:t>Ответственный</w:t>
      </w:r>
      <w:r w:rsidRPr="00620CF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123953">
        <w:rPr>
          <w:sz w:val="24"/>
          <w:szCs w:val="24"/>
        </w:rPr>
        <w:t>консультант региональной</w:t>
      </w:r>
      <w:r w:rsidRPr="00620CF9">
        <w:rPr>
          <w:sz w:val="24"/>
          <w:szCs w:val="24"/>
        </w:rPr>
        <w:t xml:space="preserve"> службы по тарифам Нижегородской области Шипилова О.В.</w:t>
      </w:r>
    </w:p>
    <w:p w14:paraId="6917DB15" w14:textId="66D29FE4" w:rsidR="00CD1BB7" w:rsidRDefault="00123953" w:rsidP="00CD1BB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C6561" w:rsidRPr="005C6561">
        <w:rPr>
          <w:b/>
          <w:sz w:val="24"/>
          <w:szCs w:val="24"/>
        </w:rPr>
        <w:t xml:space="preserve">. </w:t>
      </w:r>
      <w:r w:rsidR="00CD1BB7"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CD1BB7" w:rsidRPr="00620CF9">
        <w:rPr>
          <w:sz w:val="24"/>
        </w:rPr>
        <w:t xml:space="preserve">ОБЩЕСТВА С ОГРАНИЧЕННОЙ ОТВЕТСТВЕННОСТЬЮ «КАЛИНОВ МОСТ» (ИНН 5249006257), г. Дзержинск Нижегородской области, </w:t>
      </w:r>
      <w:r w:rsidR="00CD1BB7"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="00CD1BB7" w:rsidRPr="00620CF9">
        <w:rPr>
          <w:noProof/>
          <w:sz w:val="24"/>
          <w:szCs w:val="24"/>
        </w:rPr>
        <w:t xml:space="preserve">. </w:t>
      </w:r>
      <w:r w:rsidR="00CD1BB7" w:rsidRPr="00CD1BB7">
        <w:rPr>
          <w:bCs/>
          <w:sz w:val="24"/>
          <w:szCs w:val="24"/>
        </w:rPr>
        <w:t>Ответственный</w:t>
      </w:r>
      <w:r w:rsidR="00CD1BB7" w:rsidRPr="00620CF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="00CD1BB7" w:rsidRPr="00123953">
        <w:rPr>
          <w:sz w:val="24"/>
          <w:szCs w:val="24"/>
        </w:rPr>
        <w:t>консультант региональной</w:t>
      </w:r>
      <w:r w:rsidR="00CD1BB7" w:rsidRPr="00620CF9">
        <w:rPr>
          <w:sz w:val="24"/>
          <w:szCs w:val="24"/>
        </w:rPr>
        <w:t xml:space="preserve"> службы по тарифам Нижегородской области Шипилова О.В.</w:t>
      </w:r>
    </w:p>
    <w:p w14:paraId="28909CED" w14:textId="77777777" w:rsidR="00583D81" w:rsidRDefault="00123953" w:rsidP="00583D81">
      <w:pPr>
        <w:ind w:firstLine="720"/>
        <w:jc w:val="both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</w:t>
      </w:r>
      <w:r w:rsidR="00CD1BB7" w:rsidRPr="00063DEF">
        <w:rPr>
          <w:b/>
          <w:bCs/>
          <w:noProof/>
          <w:sz w:val="24"/>
          <w:szCs w:val="24"/>
        </w:rPr>
        <w:t>.</w:t>
      </w:r>
      <w:r w:rsidR="00CD1BB7">
        <w:rPr>
          <w:bCs/>
          <w:noProof/>
          <w:sz w:val="24"/>
          <w:szCs w:val="24"/>
        </w:rPr>
        <w:t xml:space="preserve"> О</w:t>
      </w:r>
      <w:r w:rsidR="00CD1BB7" w:rsidRPr="009D086A">
        <w:rPr>
          <w:bCs/>
          <w:noProof/>
          <w:sz w:val="24"/>
          <w:szCs w:val="24"/>
        </w:rPr>
        <w:t xml:space="preserve"> формировании Информационной базы организаций Нижегородской области, в отношении которых осуществляется государственное регулирование</w:t>
      </w:r>
      <w:r w:rsidR="00CD1BB7">
        <w:rPr>
          <w:bCs/>
          <w:noProof/>
          <w:sz w:val="24"/>
          <w:szCs w:val="24"/>
        </w:rPr>
        <w:t xml:space="preserve">. </w:t>
      </w:r>
      <w:r w:rsidR="00CD1BB7">
        <w:rPr>
          <w:bCs/>
          <w:sz w:val="24"/>
          <w:szCs w:val="24"/>
        </w:rPr>
        <w:t xml:space="preserve">Ответственный: </w:t>
      </w:r>
      <w:r w:rsidR="00CD1BB7">
        <w:rPr>
          <w:noProof/>
          <w:sz w:val="24"/>
          <w:szCs w:val="24"/>
        </w:rPr>
        <w:t>начальник сектора</w:t>
      </w:r>
      <w:r w:rsidR="00CD1BB7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43E9CFB0" w14:textId="31B4939F" w:rsidR="00583D81" w:rsidRPr="00583D81" w:rsidRDefault="00583D81" w:rsidP="00583D81">
      <w:pPr>
        <w:ind w:firstLine="720"/>
        <w:jc w:val="both"/>
        <w:rPr>
          <w:bCs/>
          <w:noProof/>
          <w:sz w:val="24"/>
          <w:szCs w:val="24"/>
        </w:rPr>
      </w:pPr>
      <w:r w:rsidRPr="00583D81">
        <w:rPr>
          <w:b/>
          <w:bCs/>
          <w:noProof/>
          <w:sz w:val="24"/>
          <w:szCs w:val="24"/>
        </w:rPr>
        <w:t>4.</w:t>
      </w:r>
      <w:r>
        <w:rPr>
          <w:bCs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О внесении изменений в некоторые решения региональной службы по тарифам Нижегородской области</w:t>
      </w:r>
      <w:r w:rsidRPr="00DD5565">
        <w:rPr>
          <w:bCs/>
          <w:sz w:val="24"/>
          <w:szCs w:val="24"/>
        </w:rPr>
        <w:t>.</w:t>
      </w:r>
      <w:r>
        <w:rPr>
          <w:bCs/>
          <w:noProof/>
          <w:sz w:val="24"/>
          <w:szCs w:val="24"/>
        </w:rPr>
        <w:t xml:space="preserve"> </w:t>
      </w:r>
      <w:r w:rsidRPr="00583D81">
        <w:rPr>
          <w:bCs/>
          <w:sz w:val="24"/>
          <w:szCs w:val="24"/>
        </w:rPr>
        <w:t>Ответственные</w:t>
      </w:r>
      <w:r w:rsidRPr="008165A6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6971B2">
        <w:rPr>
          <w:bCs/>
          <w:sz w:val="24"/>
          <w:szCs w:val="24"/>
        </w:rPr>
        <w:t xml:space="preserve">консультант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</w:t>
      </w:r>
      <w:r w:rsidRPr="006971B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Pr="00F70FC7">
        <w:rPr>
          <w:bCs/>
          <w:sz w:val="24"/>
          <w:szCs w:val="24"/>
        </w:rPr>
        <w:t>консультант региональной службы по тарифам Нижегородской области Смирнова Е.Л.</w:t>
      </w:r>
      <w:r>
        <w:rPr>
          <w:bCs/>
          <w:sz w:val="24"/>
          <w:szCs w:val="24"/>
        </w:rPr>
        <w:t xml:space="preserve">, </w:t>
      </w:r>
      <w:r w:rsidRPr="0097366A">
        <w:rPr>
          <w:noProof/>
          <w:sz w:val="24"/>
          <w:szCs w:val="24"/>
        </w:rPr>
        <w:t xml:space="preserve">начальник </w:t>
      </w:r>
      <w:r>
        <w:rPr>
          <w:bCs/>
          <w:sz w:val="24"/>
          <w:szCs w:val="24"/>
        </w:rPr>
        <w:t>отдела</w:t>
      </w:r>
      <w:r w:rsidRPr="0097366A">
        <w:rPr>
          <w:noProof/>
          <w:sz w:val="24"/>
          <w:szCs w:val="24"/>
        </w:rPr>
        <w:t xml:space="preserve"> </w:t>
      </w:r>
      <w:r w:rsidRPr="00F70FC7">
        <w:rPr>
          <w:noProof/>
          <w:sz w:val="24"/>
          <w:szCs w:val="24"/>
        </w:rPr>
        <w:t>региональной службы по тарифам Нижегородской области Золотова М.И.</w:t>
      </w:r>
    </w:p>
    <w:p w14:paraId="78414E78" w14:textId="77777777" w:rsidR="00CD1BB7" w:rsidRDefault="00CD1BB7" w:rsidP="00CD1BB7">
      <w:pPr>
        <w:jc w:val="both"/>
        <w:rPr>
          <w:bCs/>
          <w:noProof/>
          <w:sz w:val="24"/>
          <w:szCs w:val="24"/>
        </w:rPr>
      </w:pPr>
    </w:p>
    <w:p w14:paraId="12FA2542" w14:textId="77777777" w:rsidR="00CD1BB7" w:rsidRPr="00620CF9" w:rsidRDefault="00CD1BB7" w:rsidP="00CD1BB7">
      <w:pPr>
        <w:ind w:firstLine="709"/>
        <w:jc w:val="both"/>
        <w:rPr>
          <w:sz w:val="24"/>
          <w:szCs w:val="24"/>
        </w:rPr>
      </w:pPr>
    </w:p>
    <w:p w14:paraId="6CB8479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6C2B341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59D967D0" w14:textId="4D497D22" w:rsidR="00123953" w:rsidRPr="00620CF9" w:rsidRDefault="00123953" w:rsidP="00123953">
      <w:pPr>
        <w:jc w:val="both"/>
        <w:rPr>
          <w:sz w:val="24"/>
        </w:rPr>
      </w:pPr>
      <w:r>
        <w:rPr>
          <w:b/>
          <w:sz w:val="24"/>
          <w:szCs w:val="24"/>
        </w:rPr>
        <w:t xml:space="preserve">1. </w:t>
      </w:r>
      <w:r w:rsidRPr="00620CF9">
        <w:rPr>
          <w:b/>
          <w:sz w:val="24"/>
          <w:szCs w:val="24"/>
        </w:rPr>
        <w:t xml:space="preserve">СЛУШАЛИ: </w:t>
      </w:r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Pr="00123953">
        <w:rPr>
          <w:sz w:val="24"/>
        </w:rPr>
        <w:t>ОБЩЕСТВА С ОГРАНИЧЕННОЙ ОТВЕТСТВЕННОСТЬЮ «РАСПРЕДЕЛЁННАЯ ЭНЕРГЕТИКА» (ИНН 5836693981), г. Пенза</w:t>
      </w:r>
      <w:r w:rsidRPr="00620CF9">
        <w:rPr>
          <w:sz w:val="24"/>
        </w:rPr>
        <w:t xml:space="preserve">,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</w:p>
    <w:p w14:paraId="047071AE" w14:textId="7B319A3C" w:rsidR="00123953" w:rsidRPr="00620CF9" w:rsidRDefault="00123953" w:rsidP="00123953">
      <w:pPr>
        <w:jc w:val="both"/>
        <w:rPr>
          <w:bCs/>
          <w:noProof/>
          <w:sz w:val="24"/>
          <w:szCs w:val="24"/>
        </w:rPr>
      </w:pPr>
      <w:r w:rsidRPr="00620CF9">
        <w:rPr>
          <w:sz w:val="24"/>
          <w:szCs w:val="24"/>
          <w:u w:val="single"/>
        </w:rPr>
        <w:t>Основание для рассмотрения</w:t>
      </w:r>
      <w:r w:rsidRPr="00620CF9">
        <w:rPr>
          <w:sz w:val="24"/>
          <w:szCs w:val="24"/>
        </w:rPr>
        <w:t xml:space="preserve">: </w:t>
      </w:r>
      <w:r w:rsidRPr="00620CF9">
        <w:rPr>
          <w:bCs/>
          <w:noProof/>
          <w:sz w:val="24"/>
          <w:szCs w:val="24"/>
        </w:rPr>
        <w:t xml:space="preserve">письмо ОБЩЕСТВА С ОГРАНИЧЕННОЙ ОТВЕТСТВЕННОСТЬЮ «ГАЗПРОМ ГАЗОРАСПРЕДЕЛЕНИЕ НИЖНИЙ НОВГОРОД» (ИНН 5262390050), г. Нижний Новгород (с прилагающимися документами), входящий № </w:t>
      </w:r>
      <w:r w:rsidRPr="00123953">
        <w:rPr>
          <w:bCs/>
          <w:noProof/>
          <w:sz w:val="24"/>
          <w:szCs w:val="24"/>
        </w:rPr>
        <w:t>Вх-516-593652/25</w:t>
      </w:r>
      <w:r>
        <w:rPr>
          <w:bCs/>
          <w:noProof/>
          <w:sz w:val="24"/>
          <w:szCs w:val="24"/>
        </w:rPr>
        <w:t xml:space="preserve"> от 8 декабря </w:t>
      </w:r>
      <w:r w:rsidRPr="00620CF9">
        <w:rPr>
          <w:bCs/>
          <w:noProof/>
          <w:sz w:val="24"/>
          <w:szCs w:val="24"/>
        </w:rPr>
        <w:t>2025 г. (исходящий №</w:t>
      </w:r>
      <w:r w:rsidRPr="00620CF9">
        <w:rPr>
          <w:rFonts w:eastAsia="Calibri"/>
          <w:sz w:val="26"/>
          <w:szCs w:val="26"/>
          <w:lang w:eastAsia="en-US"/>
        </w:rPr>
        <w:t xml:space="preserve"> </w:t>
      </w:r>
      <w:r w:rsidRPr="00123953">
        <w:rPr>
          <w:bCs/>
          <w:noProof/>
          <w:sz w:val="24"/>
          <w:szCs w:val="24"/>
        </w:rPr>
        <w:t xml:space="preserve">СЗ-0721/05-02/19850 </w:t>
      </w:r>
      <w:r w:rsidRPr="00620CF9">
        <w:rPr>
          <w:bCs/>
          <w:noProof/>
          <w:sz w:val="24"/>
          <w:szCs w:val="24"/>
        </w:rPr>
        <w:t xml:space="preserve">от </w:t>
      </w:r>
      <w:r>
        <w:rPr>
          <w:bCs/>
          <w:noProof/>
          <w:sz w:val="24"/>
          <w:szCs w:val="24"/>
        </w:rPr>
        <w:t>8 декабря</w:t>
      </w:r>
      <w:r w:rsidRPr="00620CF9">
        <w:rPr>
          <w:bCs/>
          <w:noProof/>
          <w:sz w:val="24"/>
          <w:szCs w:val="24"/>
        </w:rPr>
        <w:t xml:space="preserve"> 2025 г.).</w:t>
      </w:r>
    </w:p>
    <w:p w14:paraId="68C5E5E4" w14:textId="77777777" w:rsidR="00123953" w:rsidRPr="00620CF9" w:rsidRDefault="00123953" w:rsidP="00123953">
      <w:pPr>
        <w:jc w:val="both"/>
        <w:rPr>
          <w:sz w:val="24"/>
          <w:szCs w:val="24"/>
        </w:rPr>
      </w:pPr>
      <w:r w:rsidRPr="00620CF9">
        <w:rPr>
          <w:bCs/>
          <w:sz w:val="24"/>
          <w:szCs w:val="24"/>
          <w:u w:val="single"/>
        </w:rPr>
        <w:t>Ответственный</w:t>
      </w:r>
      <w:r w:rsidRPr="00620CF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620CF9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3B433F84" w14:textId="49FCE038" w:rsidR="00EA6973" w:rsidRPr="00EA6973" w:rsidRDefault="00123953" w:rsidP="00EA6973">
      <w:pPr>
        <w:jc w:val="both"/>
        <w:rPr>
          <w:sz w:val="24"/>
          <w:szCs w:val="24"/>
        </w:rPr>
      </w:pPr>
      <w:r w:rsidRPr="00EA6973">
        <w:rPr>
          <w:b/>
          <w:sz w:val="24"/>
          <w:szCs w:val="24"/>
        </w:rPr>
        <w:t>РЕШИЛИ:</w:t>
      </w:r>
      <w:r w:rsidR="00EA6973" w:rsidRPr="00EA6973">
        <w:rPr>
          <w:b/>
          <w:sz w:val="24"/>
          <w:szCs w:val="24"/>
        </w:rPr>
        <w:t xml:space="preserve"> </w:t>
      </w:r>
      <w:r w:rsidR="00EA6973" w:rsidRPr="00EA6973">
        <w:rPr>
          <w:sz w:val="24"/>
          <w:szCs w:val="24"/>
        </w:rPr>
        <w:t xml:space="preserve">В соответствии с Федеральным законом </w:t>
      </w:r>
      <w:r w:rsidR="00EA6973" w:rsidRPr="00EA6973">
        <w:rPr>
          <w:color w:val="000000"/>
          <w:sz w:val="24"/>
          <w:szCs w:val="24"/>
        </w:rPr>
        <w:t xml:space="preserve">от 31 марта 1999 г. № 69-ФЗ </w:t>
      </w:r>
      <w:r w:rsidR="00EA6973" w:rsidRPr="00EA6973">
        <w:rPr>
          <w:color w:val="000000"/>
          <w:sz w:val="24"/>
          <w:szCs w:val="24"/>
        </w:rPr>
        <w:br/>
        <w:t xml:space="preserve"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 w:rsidR="00EA6973" w:rsidRPr="00EA6973">
        <w:rPr>
          <w:color w:val="000000"/>
          <w:sz w:val="24"/>
          <w:szCs w:val="24"/>
        </w:rPr>
        <w:br/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</w:t>
      </w:r>
      <w:r w:rsidR="00EA6973" w:rsidRPr="00EA6973">
        <w:rPr>
          <w:sz w:val="24"/>
          <w:szCs w:val="24"/>
        </w:rPr>
        <w:t xml:space="preserve">постановлением </w:t>
      </w:r>
      <w:r w:rsidR="00EA6973" w:rsidRPr="00EA6973">
        <w:rPr>
          <w:color w:val="000000"/>
          <w:sz w:val="24"/>
          <w:szCs w:val="24"/>
        </w:rPr>
        <w:t xml:space="preserve">Правительства Российской Федерации от </w:t>
      </w:r>
      <w:r w:rsidR="00EA6973" w:rsidRPr="00EA6973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приказом ФАС России от 16 августа 2018 г. № 1151/18 «Об </w:t>
      </w:r>
      <w:r w:rsidR="00EA6973" w:rsidRPr="00EA6973">
        <w:rPr>
          <w:sz w:val="24"/>
          <w:szCs w:val="24"/>
        </w:rPr>
        <w:lastRenderedPageBreak/>
        <w:t xml:space="preserve">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EA6973" w:rsidRPr="00EA6973">
        <w:rPr>
          <w:noProof/>
          <w:sz w:val="24"/>
          <w:szCs w:val="24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EA6973" w:rsidRPr="00EA6973">
        <w:rPr>
          <w:sz w:val="24"/>
          <w:szCs w:val="24"/>
          <w:lang w:eastAsia="en-US"/>
        </w:rPr>
        <w:t>,</w:t>
      </w:r>
      <w:r w:rsidR="00EA6973" w:rsidRPr="00EA6973">
        <w:rPr>
          <w:sz w:val="24"/>
          <w:szCs w:val="24"/>
        </w:rPr>
        <w:t xml:space="preserve"> экспертного заключения рег. № в-</w:t>
      </w:r>
      <w:r w:rsidR="008F0893">
        <w:rPr>
          <w:sz w:val="24"/>
          <w:szCs w:val="24"/>
        </w:rPr>
        <w:t>1060</w:t>
      </w:r>
      <w:r w:rsidR="00EA6973" w:rsidRPr="00EA6973">
        <w:rPr>
          <w:sz w:val="24"/>
          <w:szCs w:val="24"/>
        </w:rPr>
        <w:t xml:space="preserve"> от </w:t>
      </w:r>
      <w:r w:rsidR="008F0893">
        <w:rPr>
          <w:sz w:val="24"/>
          <w:szCs w:val="24"/>
        </w:rPr>
        <w:t xml:space="preserve">26 декабря </w:t>
      </w:r>
      <w:r w:rsidR="00EA6973" w:rsidRPr="00EA6973">
        <w:rPr>
          <w:sz w:val="24"/>
          <w:szCs w:val="24"/>
        </w:rPr>
        <w:t>2025 г.:</w:t>
      </w:r>
    </w:p>
    <w:p w14:paraId="1DE87DFA" w14:textId="77777777" w:rsidR="00EA6973" w:rsidRPr="00EA6973" w:rsidRDefault="00EA6973" w:rsidP="00EA697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EA6973">
        <w:rPr>
          <w:b/>
          <w:sz w:val="24"/>
          <w:szCs w:val="24"/>
        </w:rPr>
        <w:t>1.</w:t>
      </w:r>
      <w:r w:rsidRPr="00EA6973">
        <w:rPr>
          <w:sz w:val="24"/>
          <w:szCs w:val="24"/>
        </w:rPr>
        <w:t xml:space="preserve"> Установить </w:t>
      </w:r>
      <w:r w:rsidRPr="00EA6973">
        <w:rPr>
          <w:noProof/>
          <w:sz w:val="24"/>
          <w:szCs w:val="24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EA6973">
        <w:rPr>
          <w:sz w:val="24"/>
          <w:szCs w:val="24"/>
        </w:rPr>
        <w:t xml:space="preserve">ОБЩЕСТВА С ОГРАНИЧЕННОЙ ОТВЕТСТВЕННОСТЬЮ «РАСПРЕДЕЛЁННАЯ ЭНЕРГЕТИКА» (ИНН 5836693981), г. Пенза («мини ТЭЦ на базе трех ГПУ </w:t>
      </w:r>
      <w:r w:rsidRPr="00EA6973">
        <w:rPr>
          <w:sz w:val="24"/>
          <w:szCs w:val="24"/>
          <w:lang w:val="en-US"/>
        </w:rPr>
        <w:t>CATERPILLAR</w:t>
      </w:r>
      <w:r w:rsidRPr="00EA6973">
        <w:rPr>
          <w:sz w:val="24"/>
          <w:szCs w:val="24"/>
        </w:rPr>
        <w:t xml:space="preserve"> </w:t>
      </w:r>
      <w:r w:rsidRPr="00EA6973">
        <w:rPr>
          <w:sz w:val="24"/>
          <w:szCs w:val="24"/>
          <w:lang w:val="en-US"/>
        </w:rPr>
        <w:t>CG</w:t>
      </w:r>
      <w:r w:rsidRPr="00EA6973">
        <w:rPr>
          <w:sz w:val="24"/>
          <w:szCs w:val="24"/>
        </w:rPr>
        <w:t xml:space="preserve"> 170-20, расположенная по адресу: Нижегородская область, </w:t>
      </w:r>
      <w:proofErr w:type="spellStart"/>
      <w:r w:rsidRPr="00EA6973">
        <w:rPr>
          <w:sz w:val="24"/>
          <w:szCs w:val="24"/>
        </w:rPr>
        <w:t>г.о.г</w:t>
      </w:r>
      <w:proofErr w:type="spellEnd"/>
      <w:r w:rsidRPr="00EA6973">
        <w:rPr>
          <w:sz w:val="24"/>
          <w:szCs w:val="24"/>
        </w:rPr>
        <w:t xml:space="preserve">. Первомайск, ул. Мочалина, </w:t>
      </w:r>
      <w:proofErr w:type="spellStart"/>
      <w:r w:rsidRPr="00EA6973">
        <w:rPr>
          <w:sz w:val="24"/>
          <w:szCs w:val="24"/>
        </w:rPr>
        <w:t>зем</w:t>
      </w:r>
      <w:proofErr w:type="spellEnd"/>
      <w:r w:rsidRPr="00EA6973">
        <w:rPr>
          <w:sz w:val="24"/>
          <w:szCs w:val="24"/>
        </w:rPr>
        <w:t>. уч. 2А»), к газораспределительным сетям ОБЩЕСТВА С ОГРАНИЧЕННОЙ ОТВЕТСТВЕННОСТЬЮ «ГАЗПРОМ ГАЗОРАСПРЕДЕЛЕНИЕ НИЖНИЙ НОВГОРОД» (ИНН 5262390050),  г. Нижний Новгород</w:t>
      </w:r>
      <w:r w:rsidRPr="00EA6973">
        <w:rPr>
          <w:noProof/>
          <w:sz w:val="24"/>
          <w:szCs w:val="24"/>
        </w:rPr>
        <w:t xml:space="preserve">, в размере </w:t>
      </w:r>
      <w:r w:rsidRPr="00EA6973">
        <w:rPr>
          <w:b/>
          <w:bCs/>
          <w:iCs/>
          <w:sz w:val="24"/>
          <w:szCs w:val="24"/>
        </w:rPr>
        <w:t xml:space="preserve">7898,38 </w:t>
      </w:r>
      <w:r w:rsidRPr="00EA6973">
        <w:rPr>
          <w:sz w:val="24"/>
          <w:szCs w:val="24"/>
        </w:rPr>
        <w:t>тыс. руб</w:t>
      </w:r>
      <w:r w:rsidRPr="00EA6973">
        <w:rPr>
          <w:noProof/>
          <w:sz w:val="24"/>
          <w:szCs w:val="24"/>
        </w:rPr>
        <w:t>лей (без учета НДС)</w:t>
      </w:r>
      <w:r w:rsidRPr="00EA6973">
        <w:rPr>
          <w:sz w:val="24"/>
          <w:szCs w:val="24"/>
        </w:rPr>
        <w:t xml:space="preserve"> за подключаемую нагрузку газоиспользующего оборудования </w:t>
      </w:r>
      <w:r w:rsidRPr="00EA6973">
        <w:rPr>
          <w:b/>
          <w:bCs/>
          <w:iCs/>
          <w:sz w:val="24"/>
          <w:szCs w:val="24"/>
        </w:rPr>
        <w:t xml:space="preserve">1536 </w:t>
      </w:r>
      <w:proofErr w:type="spellStart"/>
      <w:r w:rsidRPr="00EA6973">
        <w:rPr>
          <w:sz w:val="24"/>
          <w:szCs w:val="24"/>
        </w:rPr>
        <w:t>м.куб</w:t>
      </w:r>
      <w:proofErr w:type="spellEnd"/>
      <w:r w:rsidRPr="00EA6973">
        <w:rPr>
          <w:sz w:val="24"/>
          <w:szCs w:val="24"/>
        </w:rPr>
        <w:t>./час.</w:t>
      </w:r>
    </w:p>
    <w:p w14:paraId="7B359D2F" w14:textId="77777777" w:rsidR="00EA6973" w:rsidRPr="00EA6973" w:rsidRDefault="00EA6973" w:rsidP="00EA697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EA6973">
        <w:rPr>
          <w:sz w:val="24"/>
          <w:szCs w:val="24"/>
        </w:rPr>
        <w:t>Стоимость каждого мероприятия по технологическому присоединению составляет: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559"/>
      </w:tblGrid>
      <w:tr w:rsidR="00EA6973" w:rsidRPr="00EA6973" w14:paraId="0B1C426C" w14:textId="77777777" w:rsidTr="001B1734">
        <w:trPr>
          <w:trHeight w:val="527"/>
        </w:trPr>
        <w:tc>
          <w:tcPr>
            <w:tcW w:w="567" w:type="dxa"/>
            <w:vAlign w:val="center"/>
          </w:tcPr>
          <w:p w14:paraId="52DC0B36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№</w:t>
            </w:r>
          </w:p>
          <w:p w14:paraId="5EA6E943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14:paraId="444F9697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3C51043C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 xml:space="preserve">Размер расходов, </w:t>
            </w:r>
            <w:proofErr w:type="spellStart"/>
            <w:r w:rsidRPr="00EA6973">
              <w:rPr>
                <w:bCs/>
                <w:iCs/>
                <w:sz w:val="20"/>
                <w:szCs w:val="24"/>
              </w:rPr>
              <w:t>тыс.руб</w:t>
            </w:r>
            <w:proofErr w:type="spellEnd"/>
            <w:r w:rsidRPr="00EA6973">
              <w:rPr>
                <w:bCs/>
                <w:iCs/>
                <w:sz w:val="20"/>
                <w:szCs w:val="24"/>
              </w:rPr>
              <w:t>.</w:t>
            </w:r>
          </w:p>
        </w:tc>
      </w:tr>
      <w:tr w:rsidR="00EA6973" w:rsidRPr="00EA6973" w14:paraId="73752962" w14:textId="77777777" w:rsidTr="001B1734">
        <w:trPr>
          <w:trHeight w:val="527"/>
        </w:trPr>
        <w:tc>
          <w:tcPr>
            <w:tcW w:w="567" w:type="dxa"/>
            <w:vAlign w:val="center"/>
          </w:tcPr>
          <w:p w14:paraId="562CEDCB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14AB664E" w14:textId="77777777" w:rsidR="00EA6973" w:rsidRPr="00EA6973" w:rsidRDefault="00EA6973" w:rsidP="001B1734">
            <w:pPr>
              <w:pStyle w:val="ac"/>
              <w:jc w:val="left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Расходы</w:t>
            </w:r>
            <w:r w:rsidRPr="00EA6973">
              <w:rPr>
                <w:sz w:val="20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559" w:type="dxa"/>
            <w:vAlign w:val="center"/>
          </w:tcPr>
          <w:p w14:paraId="0E8084D9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1,71</w:t>
            </w:r>
          </w:p>
        </w:tc>
      </w:tr>
      <w:tr w:rsidR="00EA6973" w:rsidRPr="00EA6973" w14:paraId="641086E2" w14:textId="77777777" w:rsidTr="001B1734">
        <w:tc>
          <w:tcPr>
            <w:tcW w:w="567" w:type="dxa"/>
            <w:vAlign w:val="center"/>
          </w:tcPr>
          <w:p w14:paraId="70C1896A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2.</w:t>
            </w:r>
          </w:p>
        </w:tc>
        <w:tc>
          <w:tcPr>
            <w:tcW w:w="7655" w:type="dxa"/>
          </w:tcPr>
          <w:p w14:paraId="5A94792E" w14:textId="6C7C21D3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Расходы на ра</w:t>
            </w:r>
            <w:r w:rsidR="00480EA6">
              <w:rPr>
                <w:bCs/>
                <w:iCs/>
                <w:sz w:val="20"/>
                <w:szCs w:val="24"/>
              </w:rPr>
              <w:t>зработку проектной документации</w:t>
            </w:r>
          </w:p>
        </w:tc>
        <w:tc>
          <w:tcPr>
            <w:tcW w:w="1559" w:type="dxa"/>
            <w:vAlign w:val="center"/>
          </w:tcPr>
          <w:p w14:paraId="0CF9BE91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color w:val="000000"/>
                <w:sz w:val="20"/>
                <w:szCs w:val="24"/>
                <w:highlight w:val="yellow"/>
              </w:rPr>
            </w:pPr>
            <w:r w:rsidRPr="00EA6973">
              <w:rPr>
                <w:bCs/>
                <w:iCs/>
                <w:sz w:val="20"/>
                <w:szCs w:val="24"/>
              </w:rPr>
              <w:t>2347,49</w:t>
            </w:r>
          </w:p>
        </w:tc>
      </w:tr>
      <w:tr w:rsidR="00EA6973" w:rsidRPr="00EA6973" w14:paraId="31370646" w14:textId="77777777" w:rsidTr="00EA6973">
        <w:trPr>
          <w:trHeight w:val="360"/>
        </w:trPr>
        <w:tc>
          <w:tcPr>
            <w:tcW w:w="567" w:type="dxa"/>
            <w:vAlign w:val="center"/>
          </w:tcPr>
          <w:p w14:paraId="69136D82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3.</w:t>
            </w:r>
          </w:p>
        </w:tc>
        <w:tc>
          <w:tcPr>
            <w:tcW w:w="7655" w:type="dxa"/>
          </w:tcPr>
          <w:p w14:paraId="295CF32A" w14:textId="77777777" w:rsidR="00EA6973" w:rsidRPr="00EA6973" w:rsidRDefault="00EA6973" w:rsidP="001B1734">
            <w:pPr>
              <w:pStyle w:val="ac"/>
              <w:jc w:val="left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 xml:space="preserve">Расходы на выполнение технических условий, в </w:t>
            </w:r>
            <w:proofErr w:type="spellStart"/>
            <w:r w:rsidRPr="00EA6973">
              <w:rPr>
                <w:bCs/>
                <w:iCs/>
                <w:sz w:val="20"/>
                <w:szCs w:val="24"/>
              </w:rPr>
              <w:t>т.ч</w:t>
            </w:r>
            <w:proofErr w:type="spellEnd"/>
            <w:r w:rsidRPr="00EA6973">
              <w:rPr>
                <w:bCs/>
                <w:iCs/>
                <w:sz w:val="20"/>
                <w:szCs w:val="24"/>
              </w:rPr>
              <w:t>.:</w:t>
            </w:r>
          </w:p>
          <w:p w14:paraId="6DE94B0D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строительство полиэтиленового газопровода давлением 0,6 МПа</w:t>
            </w:r>
          </w:p>
        </w:tc>
        <w:tc>
          <w:tcPr>
            <w:tcW w:w="1559" w:type="dxa"/>
            <w:vAlign w:val="center"/>
          </w:tcPr>
          <w:p w14:paraId="6E579689" w14:textId="7F0E93F4" w:rsidR="00EA6973" w:rsidRPr="00EA6973" w:rsidRDefault="00EA6973" w:rsidP="00EA6973">
            <w:pPr>
              <w:pStyle w:val="ac"/>
              <w:jc w:val="center"/>
              <w:rPr>
                <w:sz w:val="20"/>
                <w:szCs w:val="24"/>
              </w:rPr>
            </w:pPr>
            <w:r w:rsidRPr="00EA6973"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>556,69</w:t>
            </w:r>
          </w:p>
        </w:tc>
      </w:tr>
      <w:tr w:rsidR="00EA6973" w:rsidRPr="00EA6973" w14:paraId="23170BAA" w14:textId="77777777" w:rsidTr="001B1734">
        <w:tc>
          <w:tcPr>
            <w:tcW w:w="567" w:type="dxa"/>
            <w:vAlign w:val="center"/>
          </w:tcPr>
          <w:p w14:paraId="26F872B0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4.</w:t>
            </w:r>
          </w:p>
        </w:tc>
        <w:tc>
          <w:tcPr>
            <w:tcW w:w="7655" w:type="dxa"/>
          </w:tcPr>
          <w:p w14:paraId="245499D0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sz w:val="20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559" w:type="dxa"/>
            <w:vAlign w:val="center"/>
          </w:tcPr>
          <w:p w14:paraId="5C9D8C2A" w14:textId="77777777" w:rsidR="00EA6973" w:rsidRPr="00EA6973" w:rsidRDefault="00EA6973" w:rsidP="001B1734">
            <w:pPr>
              <w:pStyle w:val="ac"/>
              <w:jc w:val="center"/>
              <w:rPr>
                <w:sz w:val="20"/>
                <w:szCs w:val="24"/>
              </w:rPr>
            </w:pPr>
            <w:r w:rsidRPr="00EA6973">
              <w:rPr>
                <w:sz w:val="20"/>
                <w:szCs w:val="24"/>
              </w:rPr>
              <w:t>4,83</w:t>
            </w:r>
          </w:p>
        </w:tc>
      </w:tr>
      <w:tr w:rsidR="00EA6973" w:rsidRPr="00EA6973" w14:paraId="35C3E223" w14:textId="77777777" w:rsidTr="001B1734">
        <w:tc>
          <w:tcPr>
            <w:tcW w:w="567" w:type="dxa"/>
            <w:vAlign w:val="center"/>
          </w:tcPr>
          <w:p w14:paraId="46273B85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5.</w:t>
            </w:r>
          </w:p>
        </w:tc>
        <w:tc>
          <w:tcPr>
            <w:tcW w:w="7655" w:type="dxa"/>
          </w:tcPr>
          <w:p w14:paraId="6A233116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sz w:val="20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559" w:type="dxa"/>
            <w:vAlign w:val="center"/>
          </w:tcPr>
          <w:p w14:paraId="631EF5AD" w14:textId="77777777" w:rsidR="00EA6973" w:rsidRPr="00EA6973" w:rsidRDefault="00EA6973" w:rsidP="001B1734">
            <w:pPr>
              <w:pStyle w:val="ac"/>
              <w:jc w:val="center"/>
              <w:rPr>
                <w:sz w:val="20"/>
                <w:szCs w:val="24"/>
              </w:rPr>
            </w:pPr>
            <w:r w:rsidRPr="00EA6973">
              <w:rPr>
                <w:sz w:val="20"/>
                <w:szCs w:val="24"/>
              </w:rPr>
              <w:t>19,03</w:t>
            </w:r>
          </w:p>
        </w:tc>
      </w:tr>
      <w:tr w:rsidR="00EA6973" w:rsidRPr="00EA6973" w14:paraId="3C4B1EA4" w14:textId="77777777" w:rsidTr="001B1734">
        <w:trPr>
          <w:trHeight w:val="103"/>
        </w:trPr>
        <w:tc>
          <w:tcPr>
            <w:tcW w:w="567" w:type="dxa"/>
            <w:vAlign w:val="center"/>
          </w:tcPr>
          <w:p w14:paraId="36C72EF5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6.</w:t>
            </w:r>
          </w:p>
        </w:tc>
        <w:tc>
          <w:tcPr>
            <w:tcW w:w="7655" w:type="dxa"/>
          </w:tcPr>
          <w:p w14:paraId="12614978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Налог на прибыль</w:t>
            </w:r>
          </w:p>
        </w:tc>
        <w:tc>
          <w:tcPr>
            <w:tcW w:w="1559" w:type="dxa"/>
            <w:vAlign w:val="center"/>
          </w:tcPr>
          <w:p w14:paraId="394C399D" w14:textId="77777777" w:rsidR="00EA6973" w:rsidRPr="00EA6973" w:rsidRDefault="00EA6973" w:rsidP="001B1734">
            <w:pPr>
              <w:pStyle w:val="ac"/>
              <w:jc w:val="center"/>
              <w:rPr>
                <w:bCs/>
                <w:sz w:val="20"/>
                <w:szCs w:val="24"/>
              </w:rPr>
            </w:pPr>
            <w:r w:rsidRPr="00EA6973">
              <w:rPr>
                <w:bCs/>
                <w:color w:val="000000"/>
                <w:sz w:val="20"/>
                <w:szCs w:val="24"/>
              </w:rPr>
              <w:t>1968,63</w:t>
            </w:r>
          </w:p>
        </w:tc>
      </w:tr>
      <w:tr w:rsidR="00EA6973" w:rsidRPr="00EA6973" w14:paraId="42F0B8BF" w14:textId="77777777" w:rsidTr="001B1734">
        <w:tc>
          <w:tcPr>
            <w:tcW w:w="567" w:type="dxa"/>
            <w:vAlign w:val="center"/>
          </w:tcPr>
          <w:p w14:paraId="28E354EB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7.</w:t>
            </w:r>
          </w:p>
        </w:tc>
        <w:tc>
          <w:tcPr>
            <w:tcW w:w="7655" w:type="dxa"/>
          </w:tcPr>
          <w:p w14:paraId="343D7EF5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559" w:type="dxa"/>
            <w:vAlign w:val="center"/>
          </w:tcPr>
          <w:p w14:paraId="363C50B3" w14:textId="77777777" w:rsidR="00EA6973" w:rsidRPr="00EA6973" w:rsidRDefault="00EA6973" w:rsidP="001B1734">
            <w:pPr>
              <w:pStyle w:val="ac"/>
              <w:jc w:val="center"/>
              <w:rPr>
                <w:iCs/>
                <w:sz w:val="20"/>
                <w:szCs w:val="24"/>
              </w:rPr>
            </w:pPr>
            <w:r w:rsidRPr="00EA6973">
              <w:rPr>
                <w:iCs/>
                <w:sz w:val="20"/>
                <w:szCs w:val="24"/>
              </w:rPr>
              <w:t>7898,38</w:t>
            </w:r>
          </w:p>
        </w:tc>
      </w:tr>
      <w:tr w:rsidR="00EA6973" w:rsidRPr="00EA6973" w14:paraId="110D8CA6" w14:textId="77777777" w:rsidTr="001B1734">
        <w:trPr>
          <w:trHeight w:val="183"/>
        </w:trPr>
        <w:tc>
          <w:tcPr>
            <w:tcW w:w="567" w:type="dxa"/>
            <w:vAlign w:val="center"/>
          </w:tcPr>
          <w:p w14:paraId="27EC496F" w14:textId="77777777" w:rsidR="00EA6973" w:rsidRPr="00EA6973" w:rsidRDefault="00EA697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8.</w:t>
            </w:r>
          </w:p>
        </w:tc>
        <w:tc>
          <w:tcPr>
            <w:tcW w:w="7655" w:type="dxa"/>
          </w:tcPr>
          <w:p w14:paraId="2EC9FD32" w14:textId="77777777" w:rsidR="00EA6973" w:rsidRPr="00EA6973" w:rsidRDefault="00EA697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EA6973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559" w:type="dxa"/>
            <w:vAlign w:val="center"/>
          </w:tcPr>
          <w:p w14:paraId="160320C9" w14:textId="77777777" w:rsidR="00EA6973" w:rsidRPr="00EA6973" w:rsidRDefault="00EA6973" w:rsidP="001B1734">
            <w:pPr>
              <w:pStyle w:val="ac"/>
              <w:jc w:val="center"/>
              <w:rPr>
                <w:iCs/>
                <w:sz w:val="20"/>
                <w:szCs w:val="24"/>
                <w:highlight w:val="yellow"/>
              </w:rPr>
            </w:pPr>
            <w:r w:rsidRPr="00EA6973">
              <w:rPr>
                <w:iCs/>
                <w:sz w:val="20"/>
                <w:szCs w:val="24"/>
              </w:rPr>
              <w:t>9636,02</w:t>
            </w:r>
          </w:p>
        </w:tc>
      </w:tr>
    </w:tbl>
    <w:p w14:paraId="4FD976AC" w14:textId="77777777" w:rsidR="00EA6973" w:rsidRPr="00EA6973" w:rsidRDefault="00EA6973" w:rsidP="00EA6973">
      <w:pPr>
        <w:ind w:firstLine="709"/>
        <w:jc w:val="both"/>
        <w:rPr>
          <w:sz w:val="24"/>
        </w:rPr>
      </w:pPr>
      <w:r w:rsidRPr="00EA6973">
        <w:rPr>
          <w:b/>
          <w:sz w:val="24"/>
        </w:rPr>
        <w:t xml:space="preserve">2. </w:t>
      </w:r>
      <w:r w:rsidRPr="00EA6973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EA6973">
        <w:rPr>
          <w:bCs/>
          <w:sz w:val="24"/>
        </w:rPr>
        <w:t>,</w:t>
      </w:r>
      <w:r w:rsidRPr="00EA6973">
        <w:rPr>
          <w:sz w:val="24"/>
        </w:rPr>
        <w:t xml:space="preserve"> применяет общий режим налогообложения и является плательщиком НДС.</w:t>
      </w:r>
    </w:p>
    <w:p w14:paraId="64AA916E" w14:textId="77777777" w:rsidR="00EA6973" w:rsidRPr="00EA6973" w:rsidRDefault="00EA6973" w:rsidP="00EA697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A6973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7E9A06D8" w14:textId="77777777" w:rsidR="00EA6973" w:rsidRPr="00EA6973" w:rsidRDefault="00EA6973" w:rsidP="00EA6973">
      <w:pPr>
        <w:pStyle w:val="ac"/>
        <w:ind w:firstLine="708"/>
        <w:rPr>
          <w:sz w:val="24"/>
        </w:rPr>
      </w:pPr>
      <w:r w:rsidRPr="00EA6973">
        <w:rPr>
          <w:b/>
          <w:sz w:val="24"/>
        </w:rPr>
        <w:t>3.</w:t>
      </w:r>
      <w:r w:rsidRPr="00EA6973">
        <w:rPr>
          <w:sz w:val="24"/>
        </w:rPr>
        <w:t xml:space="preserve"> Настоящее решение вступает в силу со дня его принятия.</w:t>
      </w:r>
    </w:p>
    <w:p w14:paraId="3397357E" w14:textId="77777777" w:rsidR="00123953" w:rsidRPr="00B321B7" w:rsidRDefault="00123953" w:rsidP="00123953">
      <w:pPr>
        <w:ind w:firstLine="720"/>
        <w:jc w:val="both"/>
        <w:rPr>
          <w:sz w:val="24"/>
          <w:szCs w:val="24"/>
        </w:rPr>
      </w:pPr>
      <w:r w:rsidRPr="00620CF9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48874F01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58CBED87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71737F1E" w14:textId="29D6E952" w:rsidR="00CD1BB7" w:rsidRPr="00620CF9" w:rsidRDefault="00123953" w:rsidP="00CD1BB7">
      <w:pPr>
        <w:jc w:val="both"/>
        <w:rPr>
          <w:sz w:val="24"/>
        </w:rPr>
      </w:pPr>
      <w:r>
        <w:rPr>
          <w:b/>
          <w:sz w:val="24"/>
          <w:szCs w:val="24"/>
        </w:rPr>
        <w:t>2</w:t>
      </w:r>
      <w:r w:rsidR="00CD1BB7">
        <w:rPr>
          <w:b/>
          <w:sz w:val="24"/>
          <w:szCs w:val="24"/>
        </w:rPr>
        <w:t xml:space="preserve">. </w:t>
      </w:r>
      <w:r w:rsidR="00CD1BB7" w:rsidRPr="00620CF9">
        <w:rPr>
          <w:b/>
          <w:sz w:val="24"/>
          <w:szCs w:val="24"/>
        </w:rPr>
        <w:t xml:space="preserve">СЛУШАЛИ: </w:t>
      </w:r>
      <w:r w:rsidR="00CD1BB7"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CD1BB7" w:rsidRPr="00620CF9">
        <w:rPr>
          <w:sz w:val="24"/>
        </w:rPr>
        <w:t xml:space="preserve">ОБЩЕСТВА С ОГРАНИЧЕННОЙ ОТВЕТСТВЕННОСТЬЮ «КАЛИНОВ МОСТ» (ИНН 5249006257), г. Дзержинск Нижегородской области, </w:t>
      </w:r>
      <w:r w:rsidR="00CD1BB7"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="00CD1BB7" w:rsidRPr="00620CF9">
        <w:rPr>
          <w:noProof/>
          <w:sz w:val="24"/>
          <w:szCs w:val="24"/>
        </w:rPr>
        <w:t xml:space="preserve">. </w:t>
      </w:r>
    </w:p>
    <w:p w14:paraId="76E08AB8" w14:textId="77777777" w:rsidR="00CD1BB7" w:rsidRPr="00620CF9" w:rsidRDefault="00CD1BB7" w:rsidP="00CD1BB7">
      <w:pPr>
        <w:jc w:val="both"/>
        <w:rPr>
          <w:bCs/>
          <w:noProof/>
          <w:sz w:val="24"/>
          <w:szCs w:val="24"/>
        </w:rPr>
      </w:pPr>
      <w:r w:rsidRPr="00620CF9">
        <w:rPr>
          <w:sz w:val="24"/>
          <w:szCs w:val="24"/>
          <w:u w:val="single"/>
        </w:rPr>
        <w:t>Основание для рассмотрения</w:t>
      </w:r>
      <w:r w:rsidRPr="00620CF9">
        <w:rPr>
          <w:sz w:val="24"/>
          <w:szCs w:val="24"/>
        </w:rPr>
        <w:t xml:space="preserve">: </w:t>
      </w:r>
      <w:r w:rsidRPr="00620CF9">
        <w:rPr>
          <w:bCs/>
          <w:noProof/>
          <w:sz w:val="24"/>
          <w:szCs w:val="24"/>
        </w:rPr>
        <w:t>письмо ОБЩЕСТВА С ОГРАНИЧЕННОЙ ОТВЕТСТВЕННОСТЬЮ «ГАЗПРОМ ГАЗОРАСПРЕДЕЛЕНИЕ НИЖНИЙ НОВГОРОД» (ИНН 5262390050), г. Нижний Новгород (с прилагающимися документами), входящий № Вх-516-</w:t>
      </w:r>
      <w:r>
        <w:rPr>
          <w:bCs/>
          <w:noProof/>
          <w:sz w:val="24"/>
          <w:szCs w:val="24"/>
        </w:rPr>
        <w:t>558137</w:t>
      </w:r>
      <w:r w:rsidRPr="00620CF9">
        <w:rPr>
          <w:bCs/>
          <w:noProof/>
          <w:sz w:val="24"/>
          <w:szCs w:val="24"/>
        </w:rPr>
        <w:t xml:space="preserve">/25 от </w:t>
      </w:r>
      <w:r>
        <w:rPr>
          <w:bCs/>
          <w:noProof/>
          <w:sz w:val="24"/>
          <w:szCs w:val="24"/>
        </w:rPr>
        <w:t xml:space="preserve">20 ноября </w:t>
      </w:r>
      <w:r w:rsidRPr="00620CF9">
        <w:rPr>
          <w:bCs/>
          <w:noProof/>
          <w:sz w:val="24"/>
          <w:szCs w:val="24"/>
        </w:rPr>
        <w:t>2025 г. (исходящий №</w:t>
      </w:r>
      <w:r w:rsidRPr="00620CF9">
        <w:rPr>
          <w:rFonts w:eastAsia="Calibri"/>
          <w:sz w:val="26"/>
          <w:szCs w:val="26"/>
          <w:lang w:eastAsia="en-US"/>
        </w:rPr>
        <w:t xml:space="preserve"> </w:t>
      </w:r>
      <w:r>
        <w:rPr>
          <w:bCs/>
          <w:noProof/>
          <w:sz w:val="24"/>
          <w:szCs w:val="24"/>
        </w:rPr>
        <w:t>С</w:t>
      </w:r>
      <w:r w:rsidRPr="00620CF9">
        <w:rPr>
          <w:bCs/>
          <w:noProof/>
          <w:sz w:val="24"/>
          <w:szCs w:val="24"/>
        </w:rPr>
        <w:t>З-0721/05-02/1</w:t>
      </w:r>
      <w:r>
        <w:rPr>
          <w:bCs/>
          <w:noProof/>
          <w:sz w:val="24"/>
          <w:szCs w:val="24"/>
        </w:rPr>
        <w:t>8664</w:t>
      </w:r>
      <w:r w:rsidRPr="00382578">
        <w:rPr>
          <w:bCs/>
          <w:noProof/>
          <w:sz w:val="24"/>
          <w:szCs w:val="24"/>
        </w:rPr>
        <w:t xml:space="preserve"> </w:t>
      </w:r>
      <w:r w:rsidRPr="00620CF9">
        <w:rPr>
          <w:bCs/>
          <w:noProof/>
          <w:sz w:val="24"/>
          <w:szCs w:val="24"/>
        </w:rPr>
        <w:t xml:space="preserve">от </w:t>
      </w:r>
      <w:r>
        <w:rPr>
          <w:bCs/>
          <w:noProof/>
          <w:sz w:val="24"/>
          <w:szCs w:val="24"/>
        </w:rPr>
        <w:t>17 ноября</w:t>
      </w:r>
      <w:r w:rsidRPr="00620CF9">
        <w:rPr>
          <w:bCs/>
          <w:noProof/>
          <w:sz w:val="24"/>
          <w:szCs w:val="24"/>
        </w:rPr>
        <w:t xml:space="preserve"> 2025 г.).</w:t>
      </w:r>
    </w:p>
    <w:p w14:paraId="1F36B98B" w14:textId="562F14F8" w:rsidR="00CD1BB7" w:rsidRPr="00620CF9" w:rsidRDefault="00CD1BB7" w:rsidP="00CD1BB7">
      <w:pPr>
        <w:jc w:val="both"/>
        <w:rPr>
          <w:sz w:val="24"/>
          <w:szCs w:val="24"/>
        </w:rPr>
      </w:pPr>
      <w:r w:rsidRPr="00620CF9">
        <w:rPr>
          <w:bCs/>
          <w:sz w:val="24"/>
          <w:szCs w:val="24"/>
          <w:u w:val="single"/>
        </w:rPr>
        <w:t>Ответственный</w:t>
      </w:r>
      <w:r w:rsidRPr="00620CF9">
        <w:rPr>
          <w:bCs/>
          <w:sz w:val="24"/>
          <w:szCs w:val="24"/>
        </w:rPr>
        <w:t xml:space="preserve">: </w:t>
      </w:r>
      <w:r w:rsidR="00123953">
        <w:rPr>
          <w:bCs/>
          <w:sz w:val="24"/>
          <w:szCs w:val="24"/>
        </w:rPr>
        <w:t xml:space="preserve">ведущий </w:t>
      </w:r>
      <w:r w:rsidRPr="00620CF9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599E033A" w14:textId="0282487D" w:rsidR="008F0893" w:rsidRPr="008F0893" w:rsidRDefault="00CD1BB7" w:rsidP="008F0893">
      <w:pPr>
        <w:jc w:val="both"/>
        <w:rPr>
          <w:sz w:val="24"/>
          <w:szCs w:val="20"/>
        </w:rPr>
      </w:pPr>
      <w:r w:rsidRPr="008F0893">
        <w:rPr>
          <w:b/>
          <w:sz w:val="24"/>
          <w:szCs w:val="20"/>
        </w:rPr>
        <w:lastRenderedPageBreak/>
        <w:t>РЕШИЛИ:</w:t>
      </w:r>
      <w:r w:rsidR="008F0893" w:rsidRPr="008F0893">
        <w:rPr>
          <w:b/>
          <w:sz w:val="24"/>
          <w:szCs w:val="20"/>
        </w:rPr>
        <w:t xml:space="preserve"> </w:t>
      </w:r>
      <w:r w:rsidR="008F0893" w:rsidRPr="008F0893">
        <w:rPr>
          <w:sz w:val="24"/>
          <w:szCs w:val="20"/>
        </w:rPr>
        <w:t xml:space="preserve">В соответствии с Федеральным законом </w:t>
      </w:r>
      <w:r w:rsidR="008F0893" w:rsidRPr="008F0893">
        <w:rPr>
          <w:color w:val="000000"/>
          <w:sz w:val="24"/>
          <w:szCs w:val="20"/>
        </w:rPr>
        <w:t xml:space="preserve">от 31 марта 1999 г. № 69-ФЗ </w:t>
      </w:r>
      <w:r w:rsidR="008F0893" w:rsidRPr="008F0893">
        <w:rPr>
          <w:color w:val="000000"/>
          <w:sz w:val="24"/>
          <w:szCs w:val="20"/>
        </w:rPr>
        <w:br/>
        <w:t xml:space="preserve"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 w:rsidR="008F0893" w:rsidRPr="008F0893">
        <w:rPr>
          <w:color w:val="000000"/>
          <w:sz w:val="24"/>
          <w:szCs w:val="20"/>
        </w:rPr>
        <w:br/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</w:t>
      </w:r>
      <w:r w:rsidR="008F0893" w:rsidRPr="008F0893">
        <w:rPr>
          <w:sz w:val="24"/>
          <w:szCs w:val="20"/>
        </w:rPr>
        <w:t xml:space="preserve">постановлением </w:t>
      </w:r>
      <w:r w:rsidR="008F0893" w:rsidRPr="008F0893">
        <w:rPr>
          <w:color w:val="000000"/>
          <w:sz w:val="24"/>
          <w:szCs w:val="20"/>
        </w:rPr>
        <w:t xml:space="preserve">Правительства Российской Федерации от </w:t>
      </w:r>
      <w:r w:rsidR="008F0893" w:rsidRPr="008F0893">
        <w:rPr>
          <w:sz w:val="24"/>
          <w:szCs w:val="20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8F0893" w:rsidRPr="008F0893">
        <w:rPr>
          <w:noProof/>
          <w:sz w:val="24"/>
          <w:szCs w:val="20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8F0893" w:rsidRPr="008F0893">
        <w:rPr>
          <w:sz w:val="24"/>
          <w:szCs w:val="20"/>
          <w:lang w:eastAsia="en-US"/>
        </w:rPr>
        <w:t>,</w:t>
      </w:r>
      <w:r w:rsidR="008F0893" w:rsidRPr="008F0893">
        <w:rPr>
          <w:sz w:val="24"/>
          <w:szCs w:val="20"/>
        </w:rPr>
        <w:t xml:space="preserve"> экспертного заключения рег. № в-</w:t>
      </w:r>
      <w:r w:rsidR="008F0893">
        <w:rPr>
          <w:sz w:val="24"/>
          <w:szCs w:val="20"/>
        </w:rPr>
        <w:t>1061</w:t>
      </w:r>
      <w:r w:rsidR="008F0893" w:rsidRPr="008F0893">
        <w:rPr>
          <w:sz w:val="24"/>
          <w:szCs w:val="20"/>
        </w:rPr>
        <w:t xml:space="preserve"> от</w:t>
      </w:r>
      <w:r w:rsidR="008F0893">
        <w:rPr>
          <w:sz w:val="24"/>
          <w:szCs w:val="20"/>
        </w:rPr>
        <w:t xml:space="preserve"> 26 декабря</w:t>
      </w:r>
      <w:r w:rsidR="008F0893" w:rsidRPr="008F0893">
        <w:rPr>
          <w:sz w:val="24"/>
          <w:szCs w:val="20"/>
        </w:rPr>
        <w:t xml:space="preserve"> 2025 г.:</w:t>
      </w:r>
    </w:p>
    <w:p w14:paraId="1DEEAC07" w14:textId="77777777" w:rsidR="008F0893" w:rsidRPr="008F0893" w:rsidRDefault="008F0893" w:rsidP="008F0893">
      <w:pPr>
        <w:tabs>
          <w:tab w:val="left" w:pos="142"/>
        </w:tabs>
        <w:ind w:firstLine="709"/>
        <w:jc w:val="both"/>
        <w:rPr>
          <w:sz w:val="24"/>
          <w:szCs w:val="20"/>
        </w:rPr>
      </w:pPr>
      <w:r w:rsidRPr="008F0893">
        <w:rPr>
          <w:b/>
          <w:sz w:val="24"/>
          <w:szCs w:val="20"/>
        </w:rPr>
        <w:t>1.</w:t>
      </w:r>
      <w:r w:rsidRPr="008F0893">
        <w:rPr>
          <w:sz w:val="24"/>
          <w:szCs w:val="20"/>
        </w:rPr>
        <w:t xml:space="preserve"> Установить </w:t>
      </w:r>
      <w:r w:rsidRPr="008F0893">
        <w:rPr>
          <w:noProof/>
          <w:sz w:val="24"/>
          <w:szCs w:val="20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8F0893">
        <w:rPr>
          <w:sz w:val="24"/>
          <w:szCs w:val="20"/>
        </w:rPr>
        <w:t xml:space="preserve">ОБЩЕСТВА С ОГРАНИЧЕННОЙ ОТВЕТСТВЕННОСТЬЮ «КАЛИНОВ МОСТ» (ИНН 5249006257), г. Дзержинск Нижегородской области («котельная, расположенная по адресу: 606008, Нижегородская область, г. Дзержинск, ул. Октябрьская, д.33, </w:t>
      </w:r>
      <w:proofErr w:type="spellStart"/>
      <w:r w:rsidRPr="008F0893">
        <w:rPr>
          <w:sz w:val="24"/>
          <w:szCs w:val="20"/>
        </w:rPr>
        <w:t>кад.номер</w:t>
      </w:r>
      <w:proofErr w:type="spellEnd"/>
      <w:r w:rsidRPr="008F0893">
        <w:rPr>
          <w:sz w:val="24"/>
          <w:szCs w:val="20"/>
        </w:rPr>
        <w:t xml:space="preserve"> 52:21:0000075:18»), к газораспределительным сетям ОБЩЕСТВА С ОГРАНИЧЕННОЙ ОТВЕТСТВЕННОСТЬЮ «ГАЗПРОМ ГАЗОРАСПРЕДЕЛЕНИЕ НИЖНИЙ НОВГОРОД» (ИНН 5262390050),                         г. Нижний Новгород</w:t>
      </w:r>
      <w:r w:rsidRPr="008F0893">
        <w:rPr>
          <w:noProof/>
          <w:sz w:val="24"/>
          <w:szCs w:val="20"/>
        </w:rPr>
        <w:t xml:space="preserve">, в размере </w:t>
      </w:r>
      <w:r w:rsidRPr="008F0893">
        <w:rPr>
          <w:b/>
          <w:bCs/>
          <w:iCs/>
          <w:sz w:val="24"/>
          <w:szCs w:val="20"/>
        </w:rPr>
        <w:t xml:space="preserve">9525,03 </w:t>
      </w:r>
      <w:r w:rsidRPr="008F0893">
        <w:rPr>
          <w:sz w:val="24"/>
          <w:szCs w:val="20"/>
        </w:rPr>
        <w:t>тыс. руб</w:t>
      </w:r>
      <w:r w:rsidRPr="008F0893">
        <w:rPr>
          <w:noProof/>
          <w:sz w:val="24"/>
          <w:szCs w:val="20"/>
        </w:rPr>
        <w:t>лей (без учета НДС)</w:t>
      </w:r>
      <w:r w:rsidRPr="008F0893">
        <w:rPr>
          <w:sz w:val="24"/>
          <w:szCs w:val="20"/>
        </w:rPr>
        <w:t xml:space="preserve"> за подключаемую нагрузку газоиспользующего оборудования </w:t>
      </w:r>
      <w:r w:rsidRPr="008F0893">
        <w:rPr>
          <w:b/>
          <w:bCs/>
          <w:iCs/>
          <w:sz w:val="24"/>
          <w:szCs w:val="20"/>
        </w:rPr>
        <w:t xml:space="preserve">1445 </w:t>
      </w:r>
      <w:proofErr w:type="spellStart"/>
      <w:r w:rsidRPr="008F0893">
        <w:rPr>
          <w:sz w:val="24"/>
          <w:szCs w:val="20"/>
        </w:rPr>
        <w:t>м.куб</w:t>
      </w:r>
      <w:proofErr w:type="spellEnd"/>
      <w:r w:rsidRPr="008F0893">
        <w:rPr>
          <w:sz w:val="24"/>
          <w:szCs w:val="20"/>
        </w:rPr>
        <w:t>./час.</w:t>
      </w:r>
    </w:p>
    <w:p w14:paraId="684A47DB" w14:textId="77777777" w:rsidR="008F0893" w:rsidRPr="008F0893" w:rsidRDefault="008F0893" w:rsidP="008F0893">
      <w:pPr>
        <w:tabs>
          <w:tab w:val="left" w:pos="142"/>
        </w:tabs>
        <w:ind w:firstLine="709"/>
        <w:jc w:val="both"/>
        <w:rPr>
          <w:sz w:val="24"/>
          <w:szCs w:val="20"/>
        </w:rPr>
      </w:pPr>
      <w:r w:rsidRPr="008F0893">
        <w:rPr>
          <w:sz w:val="24"/>
          <w:szCs w:val="20"/>
        </w:rPr>
        <w:t>Стоимость каждого мероприятия по технологическому присоединению составляет: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1446"/>
      </w:tblGrid>
      <w:tr w:rsidR="008F0893" w:rsidRPr="008F0893" w14:paraId="2DB23C98" w14:textId="77777777" w:rsidTr="008F0893">
        <w:trPr>
          <w:trHeight w:val="527"/>
        </w:trPr>
        <w:tc>
          <w:tcPr>
            <w:tcW w:w="709" w:type="dxa"/>
            <w:vAlign w:val="center"/>
          </w:tcPr>
          <w:p w14:paraId="04B3890F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№</w:t>
            </w:r>
          </w:p>
          <w:p w14:paraId="769DB885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п/п</w:t>
            </w:r>
          </w:p>
        </w:tc>
        <w:tc>
          <w:tcPr>
            <w:tcW w:w="7626" w:type="dxa"/>
            <w:vAlign w:val="center"/>
          </w:tcPr>
          <w:p w14:paraId="1BBCCFBD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446" w:type="dxa"/>
            <w:vAlign w:val="center"/>
          </w:tcPr>
          <w:p w14:paraId="357A3E3B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 xml:space="preserve">Размер расходов, </w:t>
            </w:r>
            <w:proofErr w:type="spellStart"/>
            <w:r w:rsidRPr="008F0893">
              <w:rPr>
                <w:bCs/>
                <w:iCs/>
                <w:sz w:val="20"/>
                <w:szCs w:val="24"/>
              </w:rPr>
              <w:t>тыс.руб</w:t>
            </w:r>
            <w:proofErr w:type="spellEnd"/>
            <w:r w:rsidRPr="008F0893">
              <w:rPr>
                <w:bCs/>
                <w:iCs/>
                <w:sz w:val="20"/>
                <w:szCs w:val="24"/>
              </w:rPr>
              <w:t>.</w:t>
            </w:r>
          </w:p>
        </w:tc>
      </w:tr>
      <w:tr w:rsidR="008F0893" w:rsidRPr="008F0893" w14:paraId="156C541F" w14:textId="77777777" w:rsidTr="008F0893">
        <w:trPr>
          <w:trHeight w:val="527"/>
        </w:trPr>
        <w:tc>
          <w:tcPr>
            <w:tcW w:w="709" w:type="dxa"/>
            <w:vAlign w:val="center"/>
          </w:tcPr>
          <w:p w14:paraId="29CB60EC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</w:rPr>
            </w:pPr>
            <w:r w:rsidRPr="008F0893">
              <w:rPr>
                <w:bCs/>
                <w:iCs/>
                <w:sz w:val="20"/>
                <w:szCs w:val="24"/>
              </w:rPr>
              <w:t>1.</w:t>
            </w:r>
          </w:p>
        </w:tc>
        <w:tc>
          <w:tcPr>
            <w:tcW w:w="7626" w:type="dxa"/>
            <w:vAlign w:val="center"/>
          </w:tcPr>
          <w:p w14:paraId="7A51FF12" w14:textId="77777777" w:rsidR="008F0893" w:rsidRPr="008F0893" w:rsidRDefault="008F0893" w:rsidP="001B1734">
            <w:pPr>
              <w:pStyle w:val="ac"/>
              <w:jc w:val="left"/>
              <w:rPr>
                <w:bCs/>
                <w:iCs/>
                <w:sz w:val="20"/>
              </w:rPr>
            </w:pPr>
            <w:r w:rsidRPr="008F0893">
              <w:rPr>
                <w:bCs/>
                <w:iCs/>
                <w:sz w:val="20"/>
                <w:szCs w:val="24"/>
              </w:rPr>
              <w:t>Расходы</w:t>
            </w:r>
            <w:r w:rsidRPr="008F0893">
              <w:rPr>
                <w:sz w:val="20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446" w:type="dxa"/>
            <w:vAlign w:val="center"/>
          </w:tcPr>
          <w:p w14:paraId="36B33E5D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1,71</w:t>
            </w:r>
          </w:p>
        </w:tc>
      </w:tr>
      <w:tr w:rsidR="008F0893" w:rsidRPr="008F0893" w14:paraId="03800A6A" w14:textId="77777777" w:rsidTr="008F0893">
        <w:tc>
          <w:tcPr>
            <w:tcW w:w="709" w:type="dxa"/>
            <w:vAlign w:val="center"/>
          </w:tcPr>
          <w:p w14:paraId="77E3F709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2.</w:t>
            </w:r>
          </w:p>
        </w:tc>
        <w:tc>
          <w:tcPr>
            <w:tcW w:w="7626" w:type="dxa"/>
          </w:tcPr>
          <w:p w14:paraId="7F8902EF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446" w:type="dxa"/>
            <w:vAlign w:val="center"/>
          </w:tcPr>
          <w:p w14:paraId="464295F7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  <w:highlight w:val="yellow"/>
              </w:rPr>
            </w:pPr>
            <w:r w:rsidRPr="008F0893">
              <w:rPr>
                <w:bCs/>
                <w:iCs/>
                <w:sz w:val="20"/>
                <w:szCs w:val="24"/>
              </w:rPr>
              <w:t>559,97</w:t>
            </w:r>
          </w:p>
        </w:tc>
      </w:tr>
      <w:tr w:rsidR="008F0893" w:rsidRPr="008F0893" w14:paraId="6F5EF0B0" w14:textId="77777777" w:rsidTr="008F0893">
        <w:tc>
          <w:tcPr>
            <w:tcW w:w="709" w:type="dxa"/>
            <w:vAlign w:val="center"/>
          </w:tcPr>
          <w:p w14:paraId="621C2447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3.</w:t>
            </w:r>
          </w:p>
        </w:tc>
        <w:tc>
          <w:tcPr>
            <w:tcW w:w="7626" w:type="dxa"/>
          </w:tcPr>
          <w:p w14:paraId="6CA8923B" w14:textId="77777777" w:rsidR="008F0893" w:rsidRPr="008F0893" w:rsidRDefault="008F0893" w:rsidP="001B1734">
            <w:pPr>
              <w:pStyle w:val="ac"/>
              <w:jc w:val="left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 xml:space="preserve">Расходы на выполнение технических условий, в </w:t>
            </w:r>
            <w:proofErr w:type="spellStart"/>
            <w:r w:rsidRPr="008F0893">
              <w:rPr>
                <w:bCs/>
                <w:iCs/>
                <w:sz w:val="20"/>
                <w:szCs w:val="24"/>
              </w:rPr>
              <w:t>т.ч</w:t>
            </w:r>
            <w:proofErr w:type="spellEnd"/>
            <w:r w:rsidRPr="008F0893">
              <w:rPr>
                <w:bCs/>
                <w:iCs/>
                <w:sz w:val="20"/>
                <w:szCs w:val="24"/>
              </w:rPr>
              <w:t>.:</w:t>
            </w:r>
          </w:p>
          <w:p w14:paraId="19FEC47E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sz w:val="20"/>
                <w:szCs w:val="24"/>
              </w:rPr>
              <w:t>на демонтаж газопровода диаметром 110 мм и прокладку трассы подземного полиэтиленового газопровода среднего давления 0,3 МПа диаметром 160 мм</w:t>
            </w:r>
          </w:p>
        </w:tc>
        <w:tc>
          <w:tcPr>
            <w:tcW w:w="1446" w:type="dxa"/>
            <w:vAlign w:val="bottom"/>
          </w:tcPr>
          <w:p w14:paraId="5DC4CE58" w14:textId="77777777" w:rsidR="008F0893" w:rsidRPr="008F0893" w:rsidRDefault="008F0893" w:rsidP="001B1734">
            <w:pPr>
              <w:pStyle w:val="ac"/>
              <w:jc w:val="center"/>
              <w:rPr>
                <w:sz w:val="20"/>
                <w:szCs w:val="24"/>
              </w:rPr>
            </w:pPr>
            <w:r w:rsidRPr="008F0893">
              <w:rPr>
                <w:sz w:val="20"/>
                <w:szCs w:val="24"/>
              </w:rPr>
              <w:t>6563,33</w:t>
            </w:r>
          </w:p>
          <w:p w14:paraId="622CE520" w14:textId="77777777" w:rsidR="008F0893" w:rsidRPr="008F0893" w:rsidRDefault="008F0893" w:rsidP="001B1734">
            <w:pPr>
              <w:pStyle w:val="ac"/>
              <w:jc w:val="center"/>
              <w:rPr>
                <w:sz w:val="20"/>
                <w:szCs w:val="24"/>
                <w:highlight w:val="yellow"/>
              </w:rPr>
            </w:pPr>
          </w:p>
        </w:tc>
      </w:tr>
      <w:tr w:rsidR="008F0893" w:rsidRPr="008F0893" w14:paraId="7751B9FF" w14:textId="77777777" w:rsidTr="008F0893">
        <w:tc>
          <w:tcPr>
            <w:tcW w:w="709" w:type="dxa"/>
            <w:vAlign w:val="center"/>
          </w:tcPr>
          <w:p w14:paraId="284477A4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4.</w:t>
            </w:r>
          </w:p>
        </w:tc>
        <w:tc>
          <w:tcPr>
            <w:tcW w:w="7626" w:type="dxa"/>
          </w:tcPr>
          <w:p w14:paraId="65AE910A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sz w:val="20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446" w:type="dxa"/>
            <w:vAlign w:val="center"/>
          </w:tcPr>
          <w:p w14:paraId="74FF0AE4" w14:textId="77777777" w:rsidR="008F0893" w:rsidRPr="008F0893" w:rsidRDefault="008F0893" w:rsidP="001B1734">
            <w:pPr>
              <w:pStyle w:val="ac"/>
              <w:jc w:val="center"/>
              <w:rPr>
                <w:sz w:val="20"/>
                <w:szCs w:val="24"/>
                <w:highlight w:val="yellow"/>
              </w:rPr>
            </w:pPr>
            <w:r w:rsidRPr="008F0893">
              <w:rPr>
                <w:sz w:val="20"/>
                <w:szCs w:val="24"/>
              </w:rPr>
              <w:t>5,48</w:t>
            </w:r>
          </w:p>
        </w:tc>
      </w:tr>
      <w:tr w:rsidR="008F0893" w:rsidRPr="008F0893" w14:paraId="3697F499" w14:textId="77777777" w:rsidTr="008F0893">
        <w:tc>
          <w:tcPr>
            <w:tcW w:w="709" w:type="dxa"/>
            <w:vAlign w:val="center"/>
          </w:tcPr>
          <w:p w14:paraId="15595E81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5.</w:t>
            </w:r>
          </w:p>
        </w:tc>
        <w:tc>
          <w:tcPr>
            <w:tcW w:w="7626" w:type="dxa"/>
          </w:tcPr>
          <w:p w14:paraId="208B3FE0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sz w:val="20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446" w:type="dxa"/>
            <w:vAlign w:val="center"/>
          </w:tcPr>
          <w:p w14:paraId="191E3305" w14:textId="77777777" w:rsidR="008F0893" w:rsidRPr="008F0893" w:rsidRDefault="008F0893" w:rsidP="001B1734">
            <w:pPr>
              <w:pStyle w:val="ac"/>
              <w:jc w:val="center"/>
              <w:rPr>
                <w:sz w:val="20"/>
                <w:szCs w:val="24"/>
                <w:highlight w:val="yellow"/>
                <w:lang w:val="en-US"/>
              </w:rPr>
            </w:pPr>
            <w:r w:rsidRPr="008F0893">
              <w:rPr>
                <w:sz w:val="20"/>
                <w:szCs w:val="24"/>
              </w:rPr>
              <w:t>19,54</w:t>
            </w:r>
          </w:p>
        </w:tc>
      </w:tr>
      <w:tr w:rsidR="008F0893" w:rsidRPr="008F0893" w14:paraId="573EC2C1" w14:textId="77777777" w:rsidTr="008F0893">
        <w:trPr>
          <w:trHeight w:val="103"/>
        </w:trPr>
        <w:tc>
          <w:tcPr>
            <w:tcW w:w="709" w:type="dxa"/>
            <w:vAlign w:val="center"/>
          </w:tcPr>
          <w:p w14:paraId="7E8F6ABE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6.</w:t>
            </w:r>
          </w:p>
        </w:tc>
        <w:tc>
          <w:tcPr>
            <w:tcW w:w="7626" w:type="dxa"/>
          </w:tcPr>
          <w:p w14:paraId="5EFF0112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Налог на прибыль</w:t>
            </w:r>
          </w:p>
        </w:tc>
        <w:tc>
          <w:tcPr>
            <w:tcW w:w="1446" w:type="dxa"/>
            <w:vAlign w:val="center"/>
          </w:tcPr>
          <w:p w14:paraId="77D8E7BA" w14:textId="77777777" w:rsidR="008F0893" w:rsidRPr="008F0893" w:rsidRDefault="008F0893" w:rsidP="001B1734">
            <w:pPr>
              <w:pStyle w:val="ac"/>
              <w:jc w:val="center"/>
              <w:rPr>
                <w:bCs/>
                <w:sz w:val="20"/>
                <w:szCs w:val="24"/>
                <w:highlight w:val="yellow"/>
              </w:rPr>
            </w:pPr>
            <w:r w:rsidRPr="008F0893">
              <w:rPr>
                <w:bCs/>
                <w:color w:val="000000"/>
                <w:sz w:val="20"/>
                <w:szCs w:val="24"/>
              </w:rPr>
              <w:t>2375,00</w:t>
            </w:r>
          </w:p>
        </w:tc>
      </w:tr>
      <w:tr w:rsidR="008F0893" w:rsidRPr="008F0893" w14:paraId="24B37FDE" w14:textId="77777777" w:rsidTr="008F0893">
        <w:tc>
          <w:tcPr>
            <w:tcW w:w="709" w:type="dxa"/>
            <w:vAlign w:val="center"/>
          </w:tcPr>
          <w:p w14:paraId="1DC24D71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7.</w:t>
            </w:r>
          </w:p>
        </w:tc>
        <w:tc>
          <w:tcPr>
            <w:tcW w:w="7626" w:type="dxa"/>
          </w:tcPr>
          <w:p w14:paraId="4221AE09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446" w:type="dxa"/>
            <w:vAlign w:val="center"/>
          </w:tcPr>
          <w:p w14:paraId="211E5BC6" w14:textId="77777777" w:rsidR="008F0893" w:rsidRPr="008F0893" w:rsidRDefault="008F0893" w:rsidP="001B1734">
            <w:pPr>
              <w:pStyle w:val="ac"/>
              <w:jc w:val="center"/>
              <w:rPr>
                <w:iCs/>
                <w:sz w:val="20"/>
                <w:szCs w:val="24"/>
                <w:highlight w:val="yellow"/>
              </w:rPr>
            </w:pPr>
            <w:r w:rsidRPr="008F0893">
              <w:rPr>
                <w:iCs/>
                <w:sz w:val="20"/>
                <w:szCs w:val="24"/>
              </w:rPr>
              <w:t>9525,03</w:t>
            </w:r>
          </w:p>
        </w:tc>
      </w:tr>
      <w:tr w:rsidR="008F0893" w:rsidRPr="008F0893" w14:paraId="11A14E95" w14:textId="77777777" w:rsidTr="008F0893">
        <w:trPr>
          <w:trHeight w:val="183"/>
        </w:trPr>
        <w:tc>
          <w:tcPr>
            <w:tcW w:w="709" w:type="dxa"/>
            <w:vAlign w:val="center"/>
          </w:tcPr>
          <w:p w14:paraId="153D1F53" w14:textId="77777777" w:rsidR="008F0893" w:rsidRPr="008F0893" w:rsidRDefault="008F0893" w:rsidP="001B1734">
            <w:pPr>
              <w:pStyle w:val="ac"/>
              <w:jc w:val="center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8.</w:t>
            </w:r>
          </w:p>
        </w:tc>
        <w:tc>
          <w:tcPr>
            <w:tcW w:w="7626" w:type="dxa"/>
          </w:tcPr>
          <w:p w14:paraId="64E7650D" w14:textId="77777777" w:rsidR="008F0893" w:rsidRPr="008F0893" w:rsidRDefault="008F0893" w:rsidP="001B1734">
            <w:pPr>
              <w:pStyle w:val="ac"/>
              <w:rPr>
                <w:bCs/>
                <w:iCs/>
                <w:sz w:val="20"/>
                <w:szCs w:val="24"/>
              </w:rPr>
            </w:pPr>
            <w:r w:rsidRPr="008F0893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446" w:type="dxa"/>
            <w:vAlign w:val="center"/>
          </w:tcPr>
          <w:p w14:paraId="1C1CA2E1" w14:textId="77777777" w:rsidR="008F0893" w:rsidRPr="008F0893" w:rsidRDefault="008F0893" w:rsidP="001B1734">
            <w:pPr>
              <w:pStyle w:val="ac"/>
              <w:jc w:val="center"/>
              <w:rPr>
                <w:iCs/>
                <w:sz w:val="20"/>
                <w:szCs w:val="24"/>
                <w:highlight w:val="yellow"/>
              </w:rPr>
            </w:pPr>
            <w:r w:rsidRPr="008F0893">
              <w:rPr>
                <w:iCs/>
                <w:sz w:val="20"/>
                <w:szCs w:val="24"/>
              </w:rPr>
              <w:t>11620,54</w:t>
            </w:r>
          </w:p>
        </w:tc>
      </w:tr>
    </w:tbl>
    <w:p w14:paraId="7450707C" w14:textId="77777777" w:rsidR="008F0893" w:rsidRPr="008F0893" w:rsidRDefault="008F0893" w:rsidP="008F0893">
      <w:pPr>
        <w:ind w:firstLine="709"/>
        <w:jc w:val="both"/>
        <w:rPr>
          <w:sz w:val="24"/>
        </w:rPr>
      </w:pPr>
      <w:r w:rsidRPr="008F0893">
        <w:rPr>
          <w:b/>
          <w:sz w:val="24"/>
        </w:rPr>
        <w:t xml:space="preserve">2. </w:t>
      </w:r>
      <w:r w:rsidRPr="008F0893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8F0893">
        <w:rPr>
          <w:bCs/>
          <w:sz w:val="24"/>
        </w:rPr>
        <w:t>,</w:t>
      </w:r>
      <w:r w:rsidRPr="008F0893">
        <w:rPr>
          <w:sz w:val="24"/>
        </w:rPr>
        <w:t xml:space="preserve"> применяет общий режим налогообложения и является плательщиком НДС.</w:t>
      </w:r>
    </w:p>
    <w:p w14:paraId="4CF83464" w14:textId="77777777" w:rsidR="008F0893" w:rsidRPr="008F0893" w:rsidRDefault="008F0893" w:rsidP="008F089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F0893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68FEB72B" w14:textId="77777777" w:rsidR="008F0893" w:rsidRPr="008F0893" w:rsidRDefault="008F0893" w:rsidP="008F0893">
      <w:pPr>
        <w:pStyle w:val="ac"/>
        <w:ind w:firstLine="708"/>
        <w:rPr>
          <w:sz w:val="24"/>
        </w:rPr>
      </w:pPr>
      <w:r w:rsidRPr="008F0893">
        <w:rPr>
          <w:b/>
          <w:sz w:val="24"/>
        </w:rPr>
        <w:t>3.</w:t>
      </w:r>
      <w:r w:rsidRPr="008F0893">
        <w:rPr>
          <w:sz w:val="24"/>
        </w:rPr>
        <w:t xml:space="preserve"> Настоящее решение вступает в силу со дня его принятия.</w:t>
      </w:r>
    </w:p>
    <w:p w14:paraId="63EA409B" w14:textId="77777777" w:rsidR="00CD1BB7" w:rsidRPr="00B321B7" w:rsidRDefault="00CD1BB7" w:rsidP="00CD1BB7">
      <w:pPr>
        <w:ind w:firstLine="720"/>
        <w:jc w:val="both"/>
        <w:rPr>
          <w:sz w:val="24"/>
          <w:szCs w:val="24"/>
        </w:rPr>
      </w:pPr>
      <w:r w:rsidRPr="00620CF9">
        <w:rPr>
          <w:rFonts w:eastAsia="Calibri"/>
          <w:sz w:val="24"/>
          <w:szCs w:val="24"/>
        </w:rPr>
        <w:lastRenderedPageBreak/>
        <w:t>По данному вопросу голосовали: «за» единогласно.</w:t>
      </w:r>
    </w:p>
    <w:p w14:paraId="51D81C36" w14:textId="178F6B6F" w:rsidR="005C6561" w:rsidRDefault="005C6561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74194834" w14:textId="3586CC28" w:rsidR="008E1C48" w:rsidRDefault="008E1C48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73E22E4" w14:textId="3F72D654" w:rsidR="00CD1BB7" w:rsidRPr="00980C58" w:rsidRDefault="00123953" w:rsidP="00CD1BB7">
      <w:pPr>
        <w:autoSpaceDE w:val="0"/>
        <w:autoSpaceDN w:val="0"/>
        <w:adjustRightInd w:val="0"/>
        <w:jc w:val="both"/>
        <w:rPr>
          <w:bCs/>
          <w:noProof/>
          <w:sz w:val="24"/>
          <w:szCs w:val="24"/>
        </w:rPr>
      </w:pPr>
      <w:r>
        <w:rPr>
          <w:b/>
          <w:noProof/>
          <w:sz w:val="24"/>
          <w:szCs w:val="24"/>
        </w:rPr>
        <w:t>3</w:t>
      </w:r>
      <w:r w:rsidR="00CD1BB7">
        <w:rPr>
          <w:b/>
          <w:noProof/>
          <w:sz w:val="24"/>
          <w:szCs w:val="24"/>
        </w:rPr>
        <w:t xml:space="preserve">. </w:t>
      </w:r>
      <w:r w:rsidR="00CD1BB7" w:rsidRPr="00980C58">
        <w:rPr>
          <w:b/>
          <w:noProof/>
          <w:sz w:val="24"/>
          <w:szCs w:val="24"/>
        </w:rPr>
        <w:t xml:space="preserve">СЛУШАЛИ: </w:t>
      </w:r>
      <w:r w:rsidR="00CD1BB7" w:rsidRPr="00980C58">
        <w:rPr>
          <w:bCs/>
          <w:noProof/>
          <w:sz w:val="24"/>
          <w:szCs w:val="24"/>
        </w:rPr>
        <w:t xml:space="preserve">О формировании Информационной базы организаций Нижегородской области, в отношении которых осуществляется государственное регулирование. </w:t>
      </w:r>
    </w:p>
    <w:p w14:paraId="75CD42B7" w14:textId="77777777" w:rsidR="00CD1BB7" w:rsidRPr="00980C58" w:rsidRDefault="00CD1BB7" w:rsidP="00CD1BB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Основания для рассмотрения:</w:t>
      </w:r>
      <w:r w:rsidRPr="00980C58">
        <w:rPr>
          <w:bCs/>
          <w:sz w:val="24"/>
          <w:szCs w:val="24"/>
        </w:rPr>
        <w:t xml:space="preserve"> </w:t>
      </w:r>
    </w:p>
    <w:p w14:paraId="5E856808" w14:textId="15D9A859" w:rsidR="00CD1BB7" w:rsidRPr="00980C58" w:rsidRDefault="00CD1BB7" w:rsidP="00CD1BB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</w:t>
      </w:r>
      <w:r w:rsidRPr="00980C58">
        <w:rPr>
          <w:sz w:val="24"/>
          <w:szCs w:val="24"/>
        </w:rPr>
        <w:t xml:space="preserve"> начальника сектора региональной службы по тарифам Нижегородской области Уткиной Е.В. </w:t>
      </w:r>
      <w:r w:rsidRPr="004D47D1">
        <w:rPr>
          <w:sz w:val="24"/>
          <w:szCs w:val="24"/>
        </w:rPr>
        <w:t xml:space="preserve">№ </w:t>
      </w:r>
      <w:r w:rsidR="004D47D1" w:rsidRPr="004D47D1">
        <w:rPr>
          <w:sz w:val="24"/>
          <w:szCs w:val="24"/>
        </w:rPr>
        <w:t>Сл-516-1191606/25</w:t>
      </w:r>
      <w:r w:rsidRPr="004D47D1">
        <w:rPr>
          <w:sz w:val="24"/>
          <w:szCs w:val="24"/>
        </w:rPr>
        <w:t xml:space="preserve"> от 26 декабря 2025</w:t>
      </w:r>
      <w:r>
        <w:rPr>
          <w:sz w:val="24"/>
          <w:szCs w:val="24"/>
        </w:rPr>
        <w:t xml:space="preserve"> г.</w:t>
      </w:r>
      <w:r w:rsidRPr="00980C58">
        <w:rPr>
          <w:sz w:val="24"/>
          <w:szCs w:val="24"/>
        </w:rPr>
        <w:t>;</w:t>
      </w:r>
    </w:p>
    <w:p w14:paraId="0887C696" w14:textId="77777777" w:rsidR="00AE4B5B" w:rsidRDefault="00AE4B5B" w:rsidP="00B760C6">
      <w:pPr>
        <w:jc w:val="both"/>
        <w:rPr>
          <w:sz w:val="24"/>
          <w:szCs w:val="24"/>
        </w:rPr>
      </w:pPr>
      <w:r w:rsidRPr="000370D4">
        <w:rPr>
          <w:sz w:val="24"/>
          <w:szCs w:val="24"/>
        </w:rPr>
        <w:t xml:space="preserve">- сведения из Единого государственного реестра юридических лиц </w:t>
      </w:r>
      <w:r>
        <w:rPr>
          <w:sz w:val="24"/>
          <w:szCs w:val="24"/>
        </w:rPr>
        <w:t xml:space="preserve">о </w:t>
      </w:r>
      <w:r w:rsidRPr="00CB3355">
        <w:rPr>
          <w:sz w:val="24"/>
          <w:szCs w:val="24"/>
        </w:rPr>
        <w:t>прекращени</w:t>
      </w:r>
      <w:r>
        <w:rPr>
          <w:sz w:val="24"/>
          <w:szCs w:val="24"/>
        </w:rPr>
        <w:t>и</w:t>
      </w:r>
      <w:r w:rsidRPr="00CB3355">
        <w:rPr>
          <w:sz w:val="24"/>
          <w:szCs w:val="24"/>
        </w:rPr>
        <w:t xml:space="preserve"> деятельности МУНИЦИПАЛЬНОГО УНИТАРНОГО ПРЕДПРИЯТИЯ «БЫТСЕРВИС» (ИНН 5231004770), с. </w:t>
      </w:r>
      <w:proofErr w:type="spellStart"/>
      <w:r w:rsidRPr="00CB3355">
        <w:rPr>
          <w:sz w:val="24"/>
          <w:szCs w:val="24"/>
        </w:rPr>
        <w:t>Давыдково</w:t>
      </w:r>
      <w:proofErr w:type="spellEnd"/>
      <w:r w:rsidRPr="00CB3355">
        <w:rPr>
          <w:sz w:val="24"/>
          <w:szCs w:val="24"/>
        </w:rPr>
        <w:t xml:space="preserve"> Сосновского муниципального округа Нижегородской области, путем реорганизации в форме присоединения</w:t>
      </w:r>
      <w:r>
        <w:rPr>
          <w:sz w:val="24"/>
          <w:szCs w:val="24"/>
        </w:rPr>
        <w:t xml:space="preserve"> к </w:t>
      </w:r>
      <w:r w:rsidRPr="00CB3355">
        <w:rPr>
          <w:sz w:val="24"/>
          <w:szCs w:val="24"/>
        </w:rPr>
        <w:t xml:space="preserve">МУНИЦИПАЛЬНОМУ УНИТАРНОМУ ПРЕДПРИЯТИЮ «ТЕПЛОЭНЕРГИЯ – 1» (ИНН 5231004851), </w:t>
      </w:r>
      <w:proofErr w:type="spellStart"/>
      <w:r w:rsidRPr="00CB3355">
        <w:rPr>
          <w:sz w:val="24"/>
          <w:szCs w:val="24"/>
        </w:rPr>
        <w:t>р.п</w:t>
      </w:r>
      <w:proofErr w:type="spellEnd"/>
      <w:r w:rsidRPr="00CB3355">
        <w:rPr>
          <w:sz w:val="24"/>
          <w:szCs w:val="24"/>
        </w:rPr>
        <w:t>. Сосновское Нижегородской области</w:t>
      </w:r>
      <w:r>
        <w:rPr>
          <w:sz w:val="24"/>
          <w:szCs w:val="24"/>
        </w:rPr>
        <w:t xml:space="preserve">; </w:t>
      </w:r>
    </w:p>
    <w:p w14:paraId="5BDA1A2B" w14:textId="53BD258B" w:rsidR="00AE4B5B" w:rsidRDefault="00AE4B5B" w:rsidP="00B76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</w:t>
      </w:r>
      <w:r w:rsidRPr="00410D91">
        <w:rPr>
          <w:sz w:val="24"/>
          <w:szCs w:val="24"/>
        </w:rPr>
        <w:t>региональной службы по тарифам Нижегородской области</w:t>
      </w:r>
      <w:r>
        <w:rPr>
          <w:sz w:val="24"/>
          <w:szCs w:val="24"/>
        </w:rPr>
        <w:t xml:space="preserve"> от 19 декабря 2025 г. № 60/168 об отмене с 1 января 2026 г. регулируемых тари</w:t>
      </w:r>
      <w:r w:rsidR="00480EA6">
        <w:rPr>
          <w:sz w:val="24"/>
          <w:szCs w:val="24"/>
        </w:rPr>
        <w:t>фов в сферах теплоснабжения, в</w:t>
      </w:r>
      <w:r>
        <w:rPr>
          <w:sz w:val="24"/>
          <w:szCs w:val="24"/>
        </w:rPr>
        <w:t>о</w:t>
      </w:r>
      <w:r w:rsidR="00480EA6">
        <w:rPr>
          <w:sz w:val="24"/>
          <w:szCs w:val="24"/>
        </w:rPr>
        <w:t>до</w:t>
      </w:r>
      <w:r>
        <w:rPr>
          <w:sz w:val="24"/>
          <w:szCs w:val="24"/>
        </w:rPr>
        <w:t xml:space="preserve">снабжения и водоотведения для </w:t>
      </w:r>
      <w:r w:rsidRPr="00CB3355">
        <w:rPr>
          <w:sz w:val="24"/>
          <w:szCs w:val="24"/>
        </w:rPr>
        <w:t xml:space="preserve">МУНИЦИПАЛЬНОГО УНИТАРНОГО ПРЕДПРИЯТИЯ «БЫТСЕРВИС» (ИНН 5231004770), с. </w:t>
      </w:r>
      <w:proofErr w:type="spellStart"/>
      <w:r w:rsidRPr="00CB3355">
        <w:rPr>
          <w:sz w:val="24"/>
          <w:szCs w:val="24"/>
        </w:rPr>
        <w:t>Давыдково</w:t>
      </w:r>
      <w:proofErr w:type="spellEnd"/>
      <w:r w:rsidRPr="00CB3355">
        <w:rPr>
          <w:sz w:val="24"/>
          <w:szCs w:val="24"/>
        </w:rPr>
        <w:t xml:space="preserve"> Сосновского муниципального округа Нижегородской области</w:t>
      </w:r>
      <w:r>
        <w:rPr>
          <w:sz w:val="24"/>
          <w:szCs w:val="24"/>
        </w:rPr>
        <w:t>;</w:t>
      </w:r>
    </w:p>
    <w:p w14:paraId="1A56366A" w14:textId="364584EC" w:rsidR="00480EA6" w:rsidRDefault="00480EA6" w:rsidP="00B76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</w:t>
      </w:r>
      <w:r w:rsidRPr="00410D91">
        <w:rPr>
          <w:sz w:val="24"/>
          <w:szCs w:val="24"/>
        </w:rPr>
        <w:t>региональной службы по тарифам Нижегородской области</w:t>
      </w:r>
      <w:r>
        <w:rPr>
          <w:sz w:val="24"/>
          <w:szCs w:val="24"/>
        </w:rPr>
        <w:t xml:space="preserve"> от 15 апреля 2025 г. № 16/1 «</w:t>
      </w:r>
      <w:r w:rsidRPr="00480EA6">
        <w:rPr>
          <w:sz w:val="24"/>
          <w:szCs w:val="24"/>
        </w:rPr>
        <w:t>Об установлении ОБЩЕСТВУ С ОГРАНИЧЕННОЙ ОТВЕТСТВЕННОСТЬЮ «РУАН» (ИНН 5263138167), г. Нижний Новгород, тарифов на тепловую энергию (мощность), поставляемую потребителям г. Нижнего Новгорода (от котельной по ул. Грузинская, д. 37 «Б»)</w:t>
      </w:r>
      <w:r>
        <w:rPr>
          <w:sz w:val="24"/>
          <w:szCs w:val="24"/>
        </w:rPr>
        <w:t>», действующее до 31 декабря 2025 г.;</w:t>
      </w:r>
    </w:p>
    <w:p w14:paraId="592ACDDE" w14:textId="77EBF959" w:rsidR="00AE4B5B" w:rsidRDefault="00AE4B5B" w:rsidP="00B76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</w:t>
      </w:r>
      <w:r w:rsidRPr="00410D91">
        <w:rPr>
          <w:sz w:val="24"/>
          <w:szCs w:val="24"/>
        </w:rPr>
        <w:t>региональной службы по тарифам Нижегородской области</w:t>
      </w:r>
      <w:r>
        <w:rPr>
          <w:sz w:val="24"/>
          <w:szCs w:val="24"/>
        </w:rPr>
        <w:t xml:space="preserve"> от </w:t>
      </w:r>
      <w:r w:rsidR="00480EA6">
        <w:rPr>
          <w:sz w:val="24"/>
          <w:szCs w:val="24"/>
        </w:rPr>
        <w:t>19 декабря 2025 г. № 60/57 «</w:t>
      </w:r>
      <w:r w:rsidR="00480EA6" w:rsidRPr="00480EA6">
        <w:rPr>
          <w:sz w:val="24"/>
          <w:szCs w:val="24"/>
        </w:rPr>
        <w:t>О прекращении рассмотрения дела об установлении ОБЩЕСТВУ С ОГРАНИЧЕННОЙ ОТВЕТСТВЕННОСТЬЮ «РУАН» (ИНН 5263138167), г. Нижний Новгород, тарифов на тепловую энергию (мощность), поставляемую потребителям г. Нижнего Новгорода (от котельной по ул. Грузинская, д. 37 «Б»), на 2026 – 2028 годы</w:t>
      </w:r>
      <w:r w:rsidR="00480EA6">
        <w:rPr>
          <w:sz w:val="24"/>
          <w:szCs w:val="24"/>
        </w:rPr>
        <w:t>».</w:t>
      </w:r>
    </w:p>
    <w:p w14:paraId="2E0814B4" w14:textId="2DDC6D77" w:rsidR="00CD1BB7" w:rsidRPr="00980C58" w:rsidRDefault="00CD1BB7" w:rsidP="00B760C6">
      <w:pPr>
        <w:jc w:val="both"/>
        <w:rPr>
          <w:bCs/>
          <w:noProof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Ответственный</w:t>
      </w:r>
      <w:r w:rsidRPr="00980C58">
        <w:rPr>
          <w:bCs/>
          <w:sz w:val="24"/>
          <w:szCs w:val="24"/>
        </w:rPr>
        <w:t xml:space="preserve">: </w:t>
      </w:r>
      <w:r w:rsidRPr="00980C58">
        <w:rPr>
          <w:noProof/>
          <w:sz w:val="24"/>
          <w:szCs w:val="24"/>
        </w:rPr>
        <w:t>начальник сектора</w:t>
      </w:r>
      <w:r w:rsidRPr="00980C58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1261C7C4" w14:textId="3B5FF2D7" w:rsidR="00480EA6" w:rsidRPr="00480EA6" w:rsidRDefault="00CD1BB7" w:rsidP="00B760C6">
      <w:pPr>
        <w:tabs>
          <w:tab w:val="left" w:pos="1897"/>
        </w:tabs>
        <w:jc w:val="both"/>
        <w:rPr>
          <w:sz w:val="24"/>
          <w:szCs w:val="24"/>
        </w:rPr>
      </w:pPr>
      <w:r w:rsidRPr="00480EA6">
        <w:rPr>
          <w:b/>
          <w:noProof/>
          <w:sz w:val="24"/>
          <w:szCs w:val="24"/>
        </w:rPr>
        <w:t>РЕШИЛИ:</w:t>
      </w:r>
      <w:r w:rsidR="00480EA6" w:rsidRPr="00480EA6">
        <w:rPr>
          <w:b/>
          <w:noProof/>
          <w:sz w:val="24"/>
          <w:szCs w:val="24"/>
        </w:rPr>
        <w:t xml:space="preserve"> </w:t>
      </w:r>
      <w:r w:rsidR="00480EA6" w:rsidRPr="00480EA6">
        <w:rPr>
          <w:sz w:val="24"/>
          <w:szCs w:val="24"/>
        </w:rPr>
        <w:t xml:space="preserve">В соответствии с </w:t>
      </w:r>
      <w:hyperlink r:id="rId11" w:history="1">
        <w:r w:rsidR="00480EA6" w:rsidRPr="00480EA6">
          <w:rPr>
            <w:sz w:val="24"/>
            <w:szCs w:val="24"/>
          </w:rPr>
          <w:t>Положением</w:t>
        </w:r>
      </w:hyperlink>
      <w:r w:rsidR="00480EA6" w:rsidRPr="00480EA6">
        <w:rPr>
          <w:sz w:val="24"/>
          <w:szCs w:val="24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внести в Информационную базу организаций Нижегородской области, в отношении которых осуществляется государственное регулирование, следующие изменения:</w:t>
      </w:r>
    </w:p>
    <w:p w14:paraId="4C395EE1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</w:t>
      </w:r>
      <w:r w:rsidRPr="00480EA6">
        <w:rPr>
          <w:sz w:val="24"/>
          <w:szCs w:val="24"/>
        </w:rPr>
        <w:t xml:space="preserve"> В связи с реорганизацией в форме присоединения, исключить из Информационной базы организаций Нижегородской области, в отношении которых осуществляется государственное регулирование, следующую организацию:</w:t>
      </w:r>
    </w:p>
    <w:p w14:paraId="4FF9ABD0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1.1.</w:t>
      </w:r>
      <w:r w:rsidRPr="00480EA6">
        <w:rPr>
          <w:sz w:val="24"/>
          <w:szCs w:val="24"/>
        </w:rPr>
        <w:t xml:space="preserve"> По разделу 2 «Тепловая энергия и мощность»:</w:t>
      </w:r>
    </w:p>
    <w:p w14:paraId="38412EBE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1.1.1.</w:t>
      </w:r>
      <w:r w:rsidRPr="00480EA6">
        <w:rPr>
          <w:sz w:val="24"/>
          <w:szCs w:val="24"/>
        </w:rPr>
        <w:t xml:space="preserve"> Подраздел 2.1 </w:t>
      </w:r>
      <w:r w:rsidRPr="00480EA6">
        <w:rPr>
          <w:rFonts w:eastAsia="Calibri"/>
          <w:sz w:val="24"/>
          <w:szCs w:val="24"/>
          <w:lang w:eastAsia="en-US"/>
        </w:rPr>
        <w:t>«</w:t>
      </w:r>
      <w:r w:rsidRPr="00480EA6">
        <w:rPr>
          <w:sz w:val="24"/>
          <w:szCs w:val="24"/>
        </w:rPr>
        <w:t>Производители тепловой энергии и мощности»:</w:t>
      </w:r>
    </w:p>
    <w:p w14:paraId="37AB033E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 xml:space="preserve">- </w:t>
      </w:r>
      <w:r w:rsidRPr="00480EA6">
        <w:rPr>
          <w:sz w:val="24"/>
          <w:szCs w:val="24"/>
        </w:rPr>
        <w:t xml:space="preserve">МУНИЦИПАЛЬНОЕ УНИТАРНОЕ ПРЕДПРИЯТИЕ «БЫТСЕРВИС» (ИНН 5231004770), с. </w:t>
      </w:r>
      <w:proofErr w:type="spellStart"/>
      <w:r w:rsidRPr="00480EA6">
        <w:rPr>
          <w:sz w:val="24"/>
          <w:szCs w:val="24"/>
        </w:rPr>
        <w:t>Давыдково</w:t>
      </w:r>
      <w:proofErr w:type="spellEnd"/>
      <w:r w:rsidRPr="00480EA6">
        <w:rPr>
          <w:sz w:val="24"/>
          <w:szCs w:val="24"/>
        </w:rPr>
        <w:t xml:space="preserve"> Сосновского муниципального округа Нижегородской области, рег. № 2.1.231.</w:t>
      </w:r>
    </w:p>
    <w:p w14:paraId="36A841A8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1.1.2.</w:t>
      </w:r>
      <w:r w:rsidRPr="00480EA6">
        <w:rPr>
          <w:sz w:val="24"/>
          <w:szCs w:val="24"/>
        </w:rPr>
        <w:t xml:space="preserve"> Подраздел 2.2 «Организации, обладающие правом владения и пользования тепловыми сетями»:</w:t>
      </w:r>
    </w:p>
    <w:p w14:paraId="6FEBA597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 xml:space="preserve">- </w:t>
      </w:r>
      <w:r w:rsidRPr="00480EA6">
        <w:rPr>
          <w:sz w:val="24"/>
          <w:szCs w:val="24"/>
        </w:rPr>
        <w:t xml:space="preserve">МУНИЦИПАЛЬНОЕ УНИТАРНОЕ ПРЕДПРИЯТИЕ «БЫТСЕРВИС» (ИНН 5231004770), с. </w:t>
      </w:r>
      <w:proofErr w:type="spellStart"/>
      <w:r w:rsidRPr="00480EA6">
        <w:rPr>
          <w:sz w:val="24"/>
          <w:szCs w:val="24"/>
        </w:rPr>
        <w:t>Давыдково</w:t>
      </w:r>
      <w:proofErr w:type="spellEnd"/>
      <w:r w:rsidRPr="00480EA6">
        <w:rPr>
          <w:sz w:val="24"/>
          <w:szCs w:val="24"/>
        </w:rPr>
        <w:t xml:space="preserve"> Сосновского муниципального округа Нижегородской области, рег. № 2.2.245.</w:t>
      </w:r>
    </w:p>
    <w:p w14:paraId="3E3C90B6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1.2.</w:t>
      </w:r>
      <w:r w:rsidRPr="00480EA6">
        <w:rPr>
          <w:sz w:val="24"/>
          <w:szCs w:val="24"/>
        </w:rPr>
        <w:t xml:space="preserve"> По разделу 4 «Водоснабжение и водоотведение»:</w:t>
      </w:r>
    </w:p>
    <w:p w14:paraId="34885D86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1.2.1.</w:t>
      </w:r>
      <w:r w:rsidRPr="00480EA6">
        <w:rPr>
          <w:sz w:val="24"/>
          <w:szCs w:val="24"/>
        </w:rPr>
        <w:t xml:space="preserve"> Подраздел 4.1 </w:t>
      </w:r>
      <w:r w:rsidRPr="00480EA6">
        <w:rPr>
          <w:rFonts w:eastAsia="Calibri"/>
          <w:sz w:val="24"/>
          <w:szCs w:val="24"/>
          <w:lang w:eastAsia="en-US"/>
        </w:rPr>
        <w:t>«</w:t>
      </w:r>
      <w:r w:rsidRPr="00480EA6">
        <w:rPr>
          <w:sz w:val="24"/>
          <w:szCs w:val="24"/>
        </w:rPr>
        <w:t>Водоснабжение»:</w:t>
      </w:r>
    </w:p>
    <w:p w14:paraId="6E78BB7D" w14:textId="77777777" w:rsidR="00480EA6" w:rsidRPr="00480EA6" w:rsidRDefault="00480EA6" w:rsidP="00B760C6">
      <w:pPr>
        <w:ind w:firstLine="709"/>
        <w:jc w:val="both"/>
        <w:rPr>
          <w:b/>
          <w:sz w:val="24"/>
          <w:szCs w:val="24"/>
        </w:rPr>
      </w:pPr>
      <w:r w:rsidRPr="00480EA6">
        <w:rPr>
          <w:b/>
          <w:sz w:val="24"/>
          <w:szCs w:val="24"/>
        </w:rPr>
        <w:lastRenderedPageBreak/>
        <w:t xml:space="preserve">- </w:t>
      </w:r>
      <w:r w:rsidRPr="00480EA6">
        <w:rPr>
          <w:sz w:val="24"/>
          <w:szCs w:val="24"/>
        </w:rPr>
        <w:t xml:space="preserve">МУНИЦИПАЛЬНОЕ УНИТАРНОЕ ПРЕДПРИЯТИЕ «БЫТСЕРВИС» (ИНН 5231004770), с. </w:t>
      </w:r>
      <w:proofErr w:type="spellStart"/>
      <w:r w:rsidRPr="00480EA6">
        <w:rPr>
          <w:sz w:val="24"/>
          <w:szCs w:val="24"/>
        </w:rPr>
        <w:t>Давыдково</w:t>
      </w:r>
      <w:proofErr w:type="spellEnd"/>
      <w:r w:rsidRPr="00480EA6">
        <w:rPr>
          <w:sz w:val="24"/>
          <w:szCs w:val="24"/>
        </w:rPr>
        <w:t xml:space="preserve"> Сосновского муниципального округа Нижегородской области, рег. № 4.1.183.</w:t>
      </w:r>
    </w:p>
    <w:p w14:paraId="28BD9423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1.2.2.</w:t>
      </w:r>
      <w:r w:rsidRPr="00480EA6">
        <w:rPr>
          <w:sz w:val="24"/>
          <w:szCs w:val="24"/>
        </w:rPr>
        <w:t xml:space="preserve"> Подраздел 4.3 «Водоотведение»:</w:t>
      </w:r>
    </w:p>
    <w:p w14:paraId="0BE8C195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sz w:val="24"/>
          <w:szCs w:val="24"/>
        </w:rPr>
        <w:t xml:space="preserve">- МУНИЦИПАЛЬНОЕ УНИТАРНОЕ ПРЕДПРИЯТИЕ «БЫТСЕРВИС» (ИНН 5231004770), с. </w:t>
      </w:r>
      <w:proofErr w:type="spellStart"/>
      <w:r w:rsidRPr="00480EA6">
        <w:rPr>
          <w:sz w:val="24"/>
          <w:szCs w:val="24"/>
        </w:rPr>
        <w:t>Давыдково</w:t>
      </w:r>
      <w:proofErr w:type="spellEnd"/>
      <w:r w:rsidRPr="00480EA6">
        <w:rPr>
          <w:sz w:val="24"/>
          <w:szCs w:val="24"/>
        </w:rPr>
        <w:t xml:space="preserve"> Сосновского муниципального округа Нижегородской области, рег. № 4.3.158.</w:t>
      </w:r>
    </w:p>
    <w:p w14:paraId="7B5733D0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2.</w:t>
      </w:r>
      <w:r w:rsidRPr="00480EA6">
        <w:rPr>
          <w:sz w:val="24"/>
          <w:szCs w:val="24"/>
        </w:rPr>
        <w:t xml:space="preserve"> В связи с прекращением действия установленных тарифов, исключить из Информационной базы организаций Нижегородской области, в отношении которых осуществляется государственное регулирование, следующую организацию:</w:t>
      </w:r>
    </w:p>
    <w:p w14:paraId="5B6BA5BA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2.1.</w:t>
      </w:r>
      <w:r w:rsidRPr="00480EA6">
        <w:rPr>
          <w:sz w:val="24"/>
          <w:szCs w:val="24"/>
        </w:rPr>
        <w:t xml:space="preserve"> По разделу 2 «Тепловая энергия и мощность»:</w:t>
      </w:r>
    </w:p>
    <w:p w14:paraId="4BC1B174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2.1.1.</w:t>
      </w:r>
      <w:r w:rsidRPr="00480EA6">
        <w:rPr>
          <w:sz w:val="24"/>
          <w:szCs w:val="24"/>
        </w:rPr>
        <w:t xml:space="preserve"> Подраздел 2.1 </w:t>
      </w:r>
      <w:r w:rsidRPr="00480EA6">
        <w:rPr>
          <w:rFonts w:eastAsia="Calibri"/>
          <w:sz w:val="24"/>
          <w:szCs w:val="24"/>
          <w:lang w:eastAsia="en-US"/>
        </w:rPr>
        <w:t>«</w:t>
      </w:r>
      <w:r w:rsidRPr="00480EA6">
        <w:rPr>
          <w:sz w:val="24"/>
          <w:szCs w:val="24"/>
        </w:rPr>
        <w:t>Производители тепловой энергии и мощности»:</w:t>
      </w:r>
    </w:p>
    <w:p w14:paraId="60C183A8" w14:textId="77777777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 xml:space="preserve">- </w:t>
      </w:r>
      <w:r w:rsidRPr="00480EA6">
        <w:rPr>
          <w:sz w:val="24"/>
          <w:szCs w:val="24"/>
        </w:rPr>
        <w:t>ОБЩЕСТВО С ОГРАНИЧЕННОЙ ОТВЕТСТВЕННОСТЬЮ «РУАН» (ИНН 5263138167), г. Нижний Новгород, рег. № 2.1.712.</w:t>
      </w:r>
    </w:p>
    <w:p w14:paraId="7AE4C009" w14:textId="63B0B9E8" w:rsidR="00480EA6" w:rsidRPr="00480EA6" w:rsidRDefault="00480EA6" w:rsidP="00B760C6">
      <w:pPr>
        <w:ind w:firstLine="709"/>
        <w:jc w:val="both"/>
        <w:rPr>
          <w:sz w:val="24"/>
          <w:szCs w:val="24"/>
        </w:rPr>
      </w:pPr>
      <w:r w:rsidRPr="00480EA6">
        <w:rPr>
          <w:b/>
          <w:sz w:val="24"/>
          <w:szCs w:val="24"/>
        </w:rPr>
        <w:t>3.</w:t>
      </w:r>
      <w:r w:rsidRPr="00480EA6">
        <w:rPr>
          <w:sz w:val="24"/>
          <w:szCs w:val="24"/>
        </w:rPr>
        <w:t xml:space="preserve"> Настоящее решение вступает в силу </w:t>
      </w:r>
      <w:r w:rsidR="002D3476">
        <w:rPr>
          <w:sz w:val="24"/>
          <w:szCs w:val="24"/>
        </w:rPr>
        <w:t>со дня его принятия</w:t>
      </w:r>
      <w:r w:rsidRPr="00480EA6">
        <w:rPr>
          <w:sz w:val="24"/>
          <w:szCs w:val="24"/>
        </w:rPr>
        <w:t>.</w:t>
      </w:r>
    </w:p>
    <w:p w14:paraId="5AF53197" w14:textId="2B227400" w:rsidR="00CD1BB7" w:rsidRDefault="00CD1BB7" w:rsidP="00B760C6">
      <w:pPr>
        <w:tabs>
          <w:tab w:val="left" w:pos="1897"/>
        </w:tabs>
        <w:ind w:firstLine="709"/>
        <w:jc w:val="both"/>
        <w:rPr>
          <w:bCs/>
          <w:sz w:val="24"/>
          <w:szCs w:val="24"/>
        </w:rPr>
      </w:pPr>
      <w:r w:rsidRPr="00620CF9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4F472E3D" w14:textId="0CCD3FDE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3917D4C2" w14:textId="294F9C92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35699B62" w14:textId="0208C615" w:rsidR="00B760C6" w:rsidRPr="00DD5565" w:rsidRDefault="00B760C6" w:rsidP="00B760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DD5565">
        <w:rPr>
          <w:b/>
          <w:bCs/>
          <w:sz w:val="24"/>
          <w:szCs w:val="24"/>
        </w:rPr>
        <w:t>СЛУШАЛИ:</w:t>
      </w:r>
      <w:r w:rsidRPr="00DD556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 внесении изменений в некоторые решения региональной службы по тарифам Нижегородской области</w:t>
      </w:r>
      <w:r w:rsidRPr="00DD5565">
        <w:rPr>
          <w:bCs/>
          <w:sz w:val="24"/>
          <w:szCs w:val="24"/>
        </w:rPr>
        <w:t>.</w:t>
      </w:r>
    </w:p>
    <w:p w14:paraId="2F7ACF3A" w14:textId="2A185825" w:rsidR="00B760C6" w:rsidRPr="00583D81" w:rsidRDefault="00B760C6" w:rsidP="00583D81">
      <w:pPr>
        <w:jc w:val="both"/>
        <w:rPr>
          <w:bCs/>
          <w:noProof/>
          <w:sz w:val="24"/>
          <w:szCs w:val="24"/>
        </w:rPr>
      </w:pPr>
      <w:r>
        <w:rPr>
          <w:sz w:val="24"/>
          <w:szCs w:val="24"/>
          <w:u w:val="single"/>
        </w:rPr>
        <w:t>Основание</w:t>
      </w:r>
      <w:r w:rsidRPr="00DD5565">
        <w:rPr>
          <w:sz w:val="24"/>
          <w:szCs w:val="24"/>
          <w:u w:val="single"/>
        </w:rPr>
        <w:t xml:space="preserve"> для рассмотрения</w:t>
      </w:r>
      <w:r>
        <w:rPr>
          <w:sz w:val="24"/>
          <w:szCs w:val="24"/>
        </w:rPr>
        <w:t xml:space="preserve">: </w:t>
      </w:r>
      <w:r>
        <w:rPr>
          <w:bCs/>
          <w:noProof/>
          <w:sz w:val="24"/>
          <w:szCs w:val="24"/>
        </w:rPr>
        <w:t xml:space="preserve">служебная записка первого заместителя руководителя региональной </w:t>
      </w:r>
      <w:r w:rsidRPr="00583D81">
        <w:rPr>
          <w:bCs/>
          <w:noProof/>
          <w:sz w:val="24"/>
          <w:szCs w:val="24"/>
        </w:rPr>
        <w:t xml:space="preserve">службы по тарифам Нижегородской области Усольцевой М.В. </w:t>
      </w:r>
      <w:r w:rsidRPr="007240DF">
        <w:rPr>
          <w:bCs/>
          <w:noProof/>
          <w:sz w:val="24"/>
          <w:szCs w:val="24"/>
        </w:rPr>
        <w:t xml:space="preserve">№ </w:t>
      </w:r>
      <w:r w:rsidR="007240DF" w:rsidRPr="007240DF">
        <w:rPr>
          <w:bCs/>
          <w:noProof/>
          <w:sz w:val="24"/>
          <w:szCs w:val="24"/>
        </w:rPr>
        <w:t>Сл-516-7103/26</w:t>
      </w:r>
      <w:r w:rsidR="007240DF">
        <w:rPr>
          <w:bCs/>
          <w:noProof/>
          <w:sz w:val="24"/>
          <w:szCs w:val="24"/>
        </w:rPr>
        <w:t xml:space="preserve"> </w:t>
      </w:r>
      <w:r w:rsidRPr="00583D81">
        <w:rPr>
          <w:bCs/>
          <w:noProof/>
          <w:sz w:val="24"/>
          <w:szCs w:val="24"/>
        </w:rPr>
        <w:t>от 13 января 2026 г.</w:t>
      </w:r>
    </w:p>
    <w:p w14:paraId="00FD8380" w14:textId="77777777" w:rsidR="00583D81" w:rsidRPr="00583D81" w:rsidRDefault="00B760C6" w:rsidP="00583D8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83D81">
        <w:rPr>
          <w:bCs/>
          <w:sz w:val="24"/>
          <w:szCs w:val="24"/>
          <w:u w:val="single"/>
        </w:rPr>
        <w:t>Ответственные</w:t>
      </w:r>
      <w:r w:rsidRPr="00583D81">
        <w:rPr>
          <w:bCs/>
          <w:sz w:val="24"/>
          <w:szCs w:val="24"/>
        </w:rPr>
        <w:t xml:space="preserve">: консультант региональной службы по тарифам Нижегородской области </w:t>
      </w:r>
      <w:r w:rsidR="00583D81" w:rsidRPr="00583D81">
        <w:rPr>
          <w:bCs/>
          <w:sz w:val="24"/>
          <w:szCs w:val="24"/>
        </w:rPr>
        <w:t>Тюринская Н.А</w:t>
      </w:r>
      <w:r w:rsidRPr="00583D81">
        <w:rPr>
          <w:bCs/>
          <w:sz w:val="24"/>
          <w:szCs w:val="24"/>
        </w:rPr>
        <w:t xml:space="preserve">., </w:t>
      </w:r>
      <w:r w:rsidR="00583D81" w:rsidRPr="00583D81">
        <w:rPr>
          <w:bCs/>
          <w:sz w:val="24"/>
          <w:szCs w:val="24"/>
        </w:rPr>
        <w:t xml:space="preserve">консультант региональной службы по тарифам Нижегородской области Смирнова Е.Л., </w:t>
      </w:r>
      <w:r w:rsidR="00583D81" w:rsidRPr="00583D81">
        <w:rPr>
          <w:noProof/>
          <w:sz w:val="24"/>
          <w:szCs w:val="24"/>
        </w:rPr>
        <w:t xml:space="preserve">начальник </w:t>
      </w:r>
      <w:r w:rsidR="00583D81" w:rsidRPr="00583D81">
        <w:rPr>
          <w:bCs/>
          <w:sz w:val="24"/>
          <w:szCs w:val="24"/>
        </w:rPr>
        <w:t>отдела</w:t>
      </w:r>
      <w:r w:rsidR="00583D81" w:rsidRPr="00583D81">
        <w:rPr>
          <w:noProof/>
          <w:sz w:val="24"/>
          <w:szCs w:val="24"/>
        </w:rPr>
        <w:t xml:space="preserve"> региональной службы по тарифам Нижегородской области Золотова М.И.</w:t>
      </w:r>
    </w:p>
    <w:p w14:paraId="048E0A0D" w14:textId="0326A5D0" w:rsidR="00B760C6" w:rsidRPr="00583D81" w:rsidRDefault="00B760C6" w:rsidP="00583D81">
      <w:pPr>
        <w:jc w:val="both"/>
        <w:rPr>
          <w:sz w:val="24"/>
          <w:szCs w:val="24"/>
        </w:rPr>
      </w:pPr>
      <w:r w:rsidRPr="00583D81">
        <w:rPr>
          <w:b/>
          <w:bCs/>
          <w:sz w:val="24"/>
          <w:szCs w:val="24"/>
        </w:rPr>
        <w:t xml:space="preserve">РЕШИЛИ: </w:t>
      </w:r>
      <w:r w:rsidRPr="00583D81">
        <w:rPr>
          <w:sz w:val="24"/>
          <w:szCs w:val="24"/>
        </w:rPr>
        <w:t>В целях исправления технических ошибок:</w:t>
      </w:r>
    </w:p>
    <w:p w14:paraId="697D0E31" w14:textId="2D831B8C" w:rsidR="00583D81" w:rsidRPr="00583D81" w:rsidRDefault="00B760C6" w:rsidP="00583D81">
      <w:pPr>
        <w:tabs>
          <w:tab w:val="left" w:pos="426"/>
          <w:tab w:val="left" w:pos="1134"/>
        </w:tabs>
        <w:ind w:firstLine="567"/>
        <w:jc w:val="both"/>
        <w:rPr>
          <w:sz w:val="24"/>
          <w:szCs w:val="24"/>
        </w:rPr>
      </w:pPr>
      <w:r w:rsidRPr="00583D81">
        <w:rPr>
          <w:b/>
          <w:sz w:val="24"/>
          <w:szCs w:val="24"/>
        </w:rPr>
        <w:t xml:space="preserve">1. </w:t>
      </w:r>
      <w:r w:rsidRPr="00583D81">
        <w:rPr>
          <w:sz w:val="24"/>
          <w:szCs w:val="24"/>
        </w:rPr>
        <w:t xml:space="preserve">Внести в </w:t>
      </w:r>
      <w:r w:rsidR="00583D81" w:rsidRPr="00583D81">
        <w:rPr>
          <w:sz w:val="24"/>
          <w:szCs w:val="24"/>
        </w:rPr>
        <w:t>решение</w:t>
      </w:r>
      <w:r w:rsidRPr="00583D81">
        <w:rPr>
          <w:sz w:val="24"/>
          <w:szCs w:val="24"/>
        </w:rPr>
        <w:t xml:space="preserve"> </w:t>
      </w:r>
      <w:r w:rsidRPr="00583D81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="00583D81" w:rsidRPr="00583D81">
        <w:rPr>
          <w:sz w:val="24"/>
          <w:szCs w:val="24"/>
        </w:rPr>
        <w:t>от 26 октября 2023 г. № 43/12 «Об установлении ПУБЛИЧНОМУ АКЦИОНЕРНОМУ ОБЩЕСТВУ «ПАВЛОВСКИЙ АВТОБУС» (ИНН 5252000350), г. Павлово Нижегородской области, тарифов в сфере водоотведения для потребителей Павловского муниципального округа Нижегородской области</w:t>
      </w:r>
      <w:r w:rsidR="00583D81" w:rsidRPr="00583D81">
        <w:rPr>
          <w:bCs/>
          <w:noProof/>
          <w:sz w:val="24"/>
          <w:szCs w:val="24"/>
        </w:rPr>
        <w:t xml:space="preserve">» изменение, изложив строку 2 таблицы </w:t>
      </w:r>
      <w:r w:rsidR="00583D81" w:rsidRPr="00583D81">
        <w:rPr>
          <w:sz w:val="24"/>
          <w:szCs w:val="24"/>
        </w:rPr>
        <w:t>пункта 3 решения, содержащей тарифы в сфере водоотведения на 2026 год, в следующей редакции:</w:t>
      </w:r>
    </w:p>
    <w:p w14:paraId="7D96641C" w14:textId="77777777" w:rsidR="00583D81" w:rsidRPr="00583D81" w:rsidRDefault="00583D81" w:rsidP="00583D81">
      <w:pPr>
        <w:jc w:val="both"/>
        <w:rPr>
          <w:sz w:val="24"/>
          <w:szCs w:val="24"/>
        </w:rPr>
      </w:pPr>
      <w:r w:rsidRPr="00583D81">
        <w:rPr>
          <w:sz w:val="24"/>
          <w:szCs w:val="24"/>
        </w:rPr>
        <w:t>«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933"/>
        <w:gridCol w:w="2369"/>
        <w:gridCol w:w="2193"/>
      </w:tblGrid>
      <w:tr w:rsidR="00583D81" w:rsidRPr="00F256AF" w14:paraId="31F830B2" w14:textId="77777777" w:rsidTr="00583D81">
        <w:trPr>
          <w:trHeight w:val="42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7F1C" w14:textId="77777777" w:rsidR="00583D81" w:rsidRPr="00F256AF" w:rsidRDefault="00583D81" w:rsidP="001A7166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0F3E" w14:textId="77777777" w:rsidR="00583D81" w:rsidRPr="00F256AF" w:rsidRDefault="00583D81" w:rsidP="001A7166">
            <w:pPr>
              <w:rPr>
                <w:sz w:val="18"/>
                <w:szCs w:val="18"/>
                <w:vertAlign w:val="superscript"/>
              </w:rPr>
            </w:pPr>
            <w:r w:rsidRPr="00F256AF">
              <w:rPr>
                <w:sz w:val="18"/>
                <w:szCs w:val="18"/>
              </w:rPr>
              <w:t>Водоотведение</w:t>
            </w:r>
            <w:r>
              <w:rPr>
                <w:sz w:val="18"/>
                <w:szCs w:val="18"/>
              </w:rPr>
              <w:t xml:space="preserve">, </w:t>
            </w:r>
            <w:r w:rsidRPr="00F256AF">
              <w:rPr>
                <w:sz w:val="18"/>
                <w:szCs w:val="18"/>
              </w:rPr>
              <w:t>руб./м</w:t>
            </w:r>
            <w:r w:rsidRPr="00F256AF">
              <w:rPr>
                <w:sz w:val="18"/>
                <w:szCs w:val="18"/>
                <w:vertAlign w:val="superscript"/>
              </w:rPr>
              <w:t>3</w:t>
            </w:r>
          </w:p>
          <w:p w14:paraId="538D8E98" w14:textId="77777777" w:rsidR="00583D81" w:rsidRPr="00F256AF" w:rsidRDefault="00583D81" w:rsidP="001A7166">
            <w:pPr>
              <w:rPr>
                <w:sz w:val="18"/>
                <w:szCs w:val="18"/>
              </w:rPr>
            </w:pPr>
            <w:r w:rsidRPr="00F256AF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44B96" w14:textId="77777777" w:rsidR="00583D81" w:rsidRPr="00F256AF" w:rsidRDefault="00583D81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29,78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4A8AF" w14:textId="77777777" w:rsidR="00583D81" w:rsidRPr="00F256AF" w:rsidRDefault="00583D81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32,50</w:t>
            </w:r>
          </w:p>
        </w:tc>
      </w:tr>
    </w:tbl>
    <w:p w14:paraId="1970DE74" w14:textId="4F537B87" w:rsidR="00583D81" w:rsidRPr="00583D81" w:rsidRDefault="00583D81" w:rsidP="00583D81">
      <w:pPr>
        <w:jc w:val="right"/>
        <w:rPr>
          <w:sz w:val="24"/>
          <w:szCs w:val="24"/>
        </w:rPr>
      </w:pPr>
      <w:r w:rsidRPr="00583D81">
        <w:rPr>
          <w:sz w:val="24"/>
          <w:szCs w:val="24"/>
        </w:rPr>
        <w:t>».</w:t>
      </w:r>
    </w:p>
    <w:p w14:paraId="33D16C46" w14:textId="2664B97A" w:rsidR="00583D81" w:rsidRPr="00583D81" w:rsidRDefault="00B760C6" w:rsidP="00583D81">
      <w:pPr>
        <w:ind w:firstLine="567"/>
        <w:jc w:val="both"/>
        <w:rPr>
          <w:sz w:val="24"/>
          <w:szCs w:val="24"/>
        </w:rPr>
      </w:pPr>
      <w:r w:rsidRPr="00583D81">
        <w:rPr>
          <w:b/>
          <w:sz w:val="24"/>
          <w:szCs w:val="24"/>
        </w:rPr>
        <w:t>2.</w:t>
      </w:r>
      <w:r w:rsidRPr="00583D81">
        <w:rPr>
          <w:sz w:val="24"/>
          <w:szCs w:val="24"/>
        </w:rPr>
        <w:t xml:space="preserve"> Внести в </w:t>
      </w:r>
      <w:r w:rsidR="00583D81" w:rsidRPr="00583D81">
        <w:rPr>
          <w:sz w:val="24"/>
          <w:szCs w:val="24"/>
        </w:rPr>
        <w:t xml:space="preserve">Приложение к </w:t>
      </w:r>
      <w:r w:rsidRPr="00583D81">
        <w:rPr>
          <w:noProof/>
          <w:sz w:val="24"/>
          <w:szCs w:val="24"/>
        </w:rPr>
        <w:t>решени</w:t>
      </w:r>
      <w:r w:rsidR="00583D81" w:rsidRPr="00583D81">
        <w:rPr>
          <w:noProof/>
          <w:sz w:val="24"/>
          <w:szCs w:val="24"/>
        </w:rPr>
        <w:t>ю</w:t>
      </w:r>
      <w:r w:rsidRPr="00583D81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 w:rsidR="00583D81" w:rsidRPr="00583D81">
        <w:rPr>
          <w:noProof/>
          <w:sz w:val="24"/>
          <w:szCs w:val="24"/>
        </w:rPr>
        <w:t>от 17 декабря 2024 г. № 68/130 «Об установлении ОБЩЕСТВУ С ОГРАНИЧЕННОЙ ОТВЕТСТВЕННОСТЬЮ «НАВАШИНСКИЙ ТЕПЛОВОЙ ЦЕНТР» (ИНН 5223035415), г. Навашино Нижегородской области, тарифов на горячую воду, поставляемую потребителям г. Навашино Нижегородской области с использованием закрытой системы горячего водоснабжения</w:t>
      </w:r>
      <w:r w:rsidR="00583D81" w:rsidRPr="00583D81">
        <w:rPr>
          <w:bCs/>
          <w:noProof/>
          <w:sz w:val="24"/>
          <w:szCs w:val="24"/>
        </w:rPr>
        <w:t>»</w:t>
      </w:r>
      <w:r w:rsidR="00583D81" w:rsidRPr="00583D81">
        <w:rPr>
          <w:sz w:val="24"/>
          <w:szCs w:val="24"/>
        </w:rPr>
        <w:t xml:space="preserve"> изменения, заменив в производственной программе</w:t>
      </w:r>
      <w:r w:rsidR="00583D81" w:rsidRPr="00583D81">
        <w:rPr>
          <w:b/>
          <w:sz w:val="24"/>
          <w:szCs w:val="24"/>
        </w:rPr>
        <w:t xml:space="preserve"> </w:t>
      </w:r>
      <w:r w:rsidR="00583D81" w:rsidRPr="00583D81">
        <w:rPr>
          <w:bCs/>
          <w:sz w:val="24"/>
          <w:szCs w:val="24"/>
        </w:rPr>
        <w:t xml:space="preserve">ОБЩЕСТВА С ОГРАНИЧЕННОЙ ОТВЕТСТВЕННОСТЬЮ </w:t>
      </w:r>
      <w:r w:rsidR="00583D81" w:rsidRPr="00583D81">
        <w:rPr>
          <w:noProof/>
          <w:sz w:val="24"/>
          <w:szCs w:val="24"/>
        </w:rPr>
        <w:t>«НАВАШИНСКИЙ ТЕПЛОВОЙ ЦЕНТР» (ИНН 5223035415), г. Навашино Нижегородской области</w:t>
      </w:r>
      <w:r w:rsidR="00583D81" w:rsidRPr="00583D81">
        <w:rPr>
          <w:sz w:val="24"/>
          <w:szCs w:val="24"/>
        </w:rPr>
        <w:t>, в сфере горячего водоснабжения на период реализации с 1 января 2026 г. по 31 декабря 2026 г. слова «На период с 01.02.2026 по 31.12.2026» словами «На период с 01.01.2026 по 31.12.2026», слова «За период с 01.02.2024 по 31.12.2024» словами «За период с 01.01.2024 по 31.12.2024».</w:t>
      </w:r>
    </w:p>
    <w:p w14:paraId="20509A95" w14:textId="00385A29" w:rsidR="00583D81" w:rsidRPr="00583D81" w:rsidRDefault="00583D81" w:rsidP="00B760C6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583D81">
        <w:rPr>
          <w:b/>
          <w:sz w:val="24"/>
          <w:szCs w:val="24"/>
        </w:rPr>
        <w:t xml:space="preserve">3. </w:t>
      </w:r>
      <w:r w:rsidRPr="00583D81">
        <w:rPr>
          <w:sz w:val="24"/>
          <w:szCs w:val="24"/>
        </w:rPr>
        <w:t xml:space="preserve">Внести в решение </w:t>
      </w:r>
      <w:r w:rsidRPr="00583D81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583D81">
        <w:rPr>
          <w:sz w:val="24"/>
          <w:szCs w:val="24"/>
        </w:rPr>
        <w:t xml:space="preserve">от 11 декабря 2025 г. № 57/20 «Об установлении МУНИЦИПАЛЬНОМУ ПРЕДПРИЯТИЮ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области, тарифов на тепловую энергию </w:t>
      </w:r>
      <w:r w:rsidRPr="00583D81">
        <w:rPr>
          <w:sz w:val="24"/>
          <w:szCs w:val="24"/>
        </w:rPr>
        <w:lastRenderedPageBreak/>
        <w:t xml:space="preserve">(мощность), поставляемую потребителям на территории военного городка № 1, ст. Линда, д. Слободское муниципального округа город Бор Нижегородской области» изменение, заменив в </w:t>
      </w:r>
      <w:r w:rsidR="000C4CDC">
        <w:rPr>
          <w:sz w:val="24"/>
          <w:szCs w:val="24"/>
        </w:rPr>
        <w:t xml:space="preserve">столбце «Год» </w:t>
      </w:r>
      <w:r w:rsidRPr="00583D81">
        <w:rPr>
          <w:sz w:val="24"/>
          <w:szCs w:val="24"/>
        </w:rPr>
        <w:t>таблиц</w:t>
      </w:r>
      <w:r w:rsidR="000C4CDC">
        <w:rPr>
          <w:sz w:val="24"/>
          <w:szCs w:val="24"/>
        </w:rPr>
        <w:t>ы</w:t>
      </w:r>
      <w:r w:rsidRPr="00583D81">
        <w:rPr>
          <w:sz w:val="24"/>
          <w:szCs w:val="24"/>
        </w:rPr>
        <w:t xml:space="preserve"> Приложения 1 к решению цифры «2038» цифрами «2028».</w:t>
      </w:r>
    </w:p>
    <w:p w14:paraId="1FF4E2B2" w14:textId="4267F87F" w:rsidR="00B760C6" w:rsidRPr="006971B2" w:rsidRDefault="00583D81" w:rsidP="00B760C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83D81">
        <w:rPr>
          <w:b/>
          <w:sz w:val="24"/>
          <w:szCs w:val="24"/>
        </w:rPr>
        <w:t>4</w:t>
      </w:r>
      <w:r w:rsidR="00B760C6" w:rsidRPr="00583D81">
        <w:rPr>
          <w:b/>
          <w:sz w:val="24"/>
          <w:szCs w:val="24"/>
        </w:rPr>
        <w:t>.</w:t>
      </w:r>
      <w:r w:rsidR="00B760C6" w:rsidRPr="00583D81">
        <w:rPr>
          <w:sz w:val="24"/>
          <w:szCs w:val="24"/>
        </w:rPr>
        <w:t xml:space="preserve"> Настоящее решение вступает в силу </w:t>
      </w:r>
      <w:r w:rsidRPr="00583D81">
        <w:rPr>
          <w:sz w:val="24"/>
          <w:szCs w:val="24"/>
        </w:rPr>
        <w:t>со дня его принятия и распространяется на правоотношения, возникшие с</w:t>
      </w:r>
      <w:r w:rsidR="00B760C6" w:rsidRPr="00583D81">
        <w:rPr>
          <w:sz w:val="24"/>
          <w:szCs w:val="24"/>
        </w:rPr>
        <w:t xml:space="preserve"> 1 ян</w:t>
      </w:r>
      <w:r w:rsidR="00B760C6" w:rsidRPr="006971B2">
        <w:rPr>
          <w:sz w:val="24"/>
          <w:szCs w:val="24"/>
        </w:rPr>
        <w:t>варя 2026 г.</w:t>
      </w:r>
    </w:p>
    <w:p w14:paraId="10A97C04" w14:textId="77777777" w:rsidR="00B760C6" w:rsidRPr="00DD5565" w:rsidRDefault="00B760C6" w:rsidP="00B760C6">
      <w:pPr>
        <w:ind w:firstLine="720"/>
        <w:jc w:val="both"/>
      </w:pPr>
      <w:r w:rsidRPr="00DD5565">
        <w:rPr>
          <w:sz w:val="24"/>
          <w:szCs w:val="24"/>
        </w:rPr>
        <w:t>По данному вопросу голосовали: «за» единогласно.</w:t>
      </w:r>
    </w:p>
    <w:p w14:paraId="51076584" w14:textId="77777777" w:rsidR="00B760C6" w:rsidRDefault="00B760C6" w:rsidP="00B760C6">
      <w:pPr>
        <w:jc w:val="both"/>
        <w:rPr>
          <w:b/>
          <w:bCs/>
          <w:sz w:val="24"/>
          <w:szCs w:val="24"/>
        </w:rPr>
      </w:pPr>
    </w:p>
    <w:p w14:paraId="6E3646BB" w14:textId="2396E04E" w:rsidR="00CD1BB7" w:rsidRDefault="00CD1BB7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27C349" w14:textId="77777777" w:rsidR="00B760C6" w:rsidRPr="005C6561" w:rsidRDefault="00B760C6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proofErr w:type="spellStart"/>
      <w:r>
        <w:rPr>
          <w:bCs/>
          <w:sz w:val="24"/>
          <w:szCs w:val="24"/>
        </w:rPr>
        <w:t>Ю.Л.Алешина</w:t>
      </w:r>
      <w:proofErr w:type="spellEnd"/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2A627B8C" w14:textId="77777777" w:rsidR="00FF69F0" w:rsidRDefault="00FF69F0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</w:t>
      </w:r>
      <w:proofErr w:type="spellStart"/>
      <w:r w:rsidR="001759E9">
        <w:rPr>
          <w:sz w:val="24"/>
          <w:szCs w:val="24"/>
        </w:rPr>
        <w:t>Е.В.Уткина</w:t>
      </w:r>
      <w:proofErr w:type="spellEnd"/>
    </w:p>
    <w:p w14:paraId="4B133BCB" w14:textId="7A2DC715" w:rsidR="0096201F" w:rsidRDefault="0096201F" w:rsidP="00E21E6B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96201F" w:rsidSect="0026545C">
      <w:type w:val="continuous"/>
      <w:pgSz w:w="11906" w:h="16838" w:code="9"/>
      <w:pgMar w:top="992" w:right="707" w:bottom="993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4B16" w14:textId="77777777" w:rsidR="00B83002" w:rsidRDefault="00B83002">
      <w:r>
        <w:separator/>
      </w:r>
    </w:p>
  </w:endnote>
  <w:endnote w:type="continuationSeparator" w:id="0">
    <w:p w14:paraId="22610EFC" w14:textId="77777777" w:rsidR="00B83002" w:rsidRDefault="00B8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E1DD" w14:textId="77777777" w:rsidR="00B83002" w:rsidRDefault="00B83002">
      <w:r>
        <w:separator/>
      </w:r>
    </w:p>
  </w:footnote>
  <w:footnote w:type="continuationSeparator" w:id="0">
    <w:p w14:paraId="5C432D80" w14:textId="77777777" w:rsidR="00B83002" w:rsidRDefault="00B8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E3AB" w14:textId="1C8C386D" w:rsidR="00B83002" w:rsidRDefault="00B83002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1E6B">
      <w:rPr>
        <w:rStyle w:val="a9"/>
        <w:noProof/>
      </w:rPr>
      <w:t>8</w:t>
    </w:r>
    <w:r>
      <w:rPr>
        <w:rStyle w:val="a9"/>
      </w:rPr>
      <w:fldChar w:fldCharType="end"/>
    </w:r>
  </w:p>
  <w:p w14:paraId="47D6DBFB" w14:textId="77777777" w:rsidR="00B83002" w:rsidRDefault="00B83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8AA2" w14:textId="77777777" w:rsidR="00B83002" w:rsidRDefault="00B830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83002" w:rsidRPr="00E52B15" w:rsidRDefault="00B83002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83002" w:rsidRPr="00E86583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83002" w:rsidRDefault="00B83002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83002" w:rsidRPr="002B6128" w:rsidRDefault="00B83002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83002" w:rsidRDefault="00B8300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83002" w:rsidRPr="001772E6" w:rsidRDefault="00B8300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83002" w:rsidRDefault="00B83002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83002" w:rsidRPr="00E52B15" w:rsidRDefault="00B83002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83002" w:rsidRPr="00E86583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83002" w:rsidRDefault="00B83002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83002" w:rsidRPr="002B6128" w:rsidRDefault="00B83002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83002" w:rsidRDefault="00B8300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83002" w:rsidRPr="001772E6" w:rsidRDefault="00B8300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83002" w:rsidRDefault="00B83002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13FA930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6B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5729"/>
    <o:shapelayout v:ext="edit">
      <o:idmap v:ext="edit" data="1"/>
    </o:shapelayout>
  </w:shapeDefaults>
  <w:decimalSymbol w:val=","/>
  <w:listSeparator w:val=";"/>
  <w14:docId w14:val="7B08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77F7-925B-4EEF-B044-E5B6FF91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13</cp:revision>
  <cp:lastPrinted>2026-01-14T14:22:00Z</cp:lastPrinted>
  <dcterms:created xsi:type="dcterms:W3CDTF">2025-12-20T14:00:00Z</dcterms:created>
  <dcterms:modified xsi:type="dcterms:W3CDTF">2026-01-16T08:43:00Z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